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F6A" w:rsidRPr="0042242F" w:rsidRDefault="008408CE" w:rsidP="008408CE">
      <w:pPr>
        <w:jc w:val="right"/>
        <w:rPr>
          <w:b/>
          <w:caps/>
          <w:vertAlign w:val="superscript"/>
        </w:rPr>
      </w:pPr>
      <w:r>
        <w:rPr>
          <w:b/>
          <w:caps/>
          <w:lang w:val="ru-RU"/>
        </w:rPr>
        <w:t>Г</w:t>
      </w:r>
      <w:r w:rsidRPr="008408CE">
        <w:rPr>
          <w:b/>
        </w:rPr>
        <w:t>а</w:t>
      </w:r>
      <w:r>
        <w:rPr>
          <w:b/>
        </w:rPr>
        <w:t>лина</w:t>
      </w:r>
      <w:r w:rsidRPr="008408CE">
        <w:rPr>
          <w:b/>
        </w:rPr>
        <w:t xml:space="preserve"> </w:t>
      </w:r>
      <w:r>
        <w:rPr>
          <w:b/>
        </w:rPr>
        <w:t>Л</w:t>
      </w:r>
      <w:r w:rsidRPr="008408CE">
        <w:rPr>
          <w:b/>
        </w:rPr>
        <w:t>о</w:t>
      </w:r>
      <w:r>
        <w:rPr>
          <w:b/>
        </w:rPr>
        <w:t>пушня</w:t>
      </w:r>
      <w:r w:rsidR="00307BFD">
        <w:rPr>
          <w:b/>
        </w:rPr>
        <w:t>к</w:t>
      </w:r>
    </w:p>
    <w:p w:rsidR="0042242F" w:rsidRDefault="00307BFD" w:rsidP="0042242F">
      <w:pPr>
        <w:jc w:val="right"/>
        <w:rPr>
          <w:b/>
          <w:i/>
          <w:lang w:val="en-US"/>
        </w:rPr>
      </w:pPr>
      <w:r>
        <w:rPr>
          <w:b/>
          <w:i/>
        </w:rPr>
        <w:t>доктор економічних наук</w:t>
      </w:r>
      <w:r w:rsidR="0042242F" w:rsidRPr="0042242F">
        <w:rPr>
          <w:b/>
          <w:i/>
        </w:rPr>
        <w:t>, професор</w:t>
      </w:r>
    </w:p>
    <w:p w:rsidR="00E90AE4" w:rsidRPr="00E90AE4" w:rsidRDefault="00E90AE4" w:rsidP="0042242F">
      <w:pPr>
        <w:jc w:val="right"/>
        <w:rPr>
          <w:b/>
          <w:i/>
          <w:lang w:val="ru-RU"/>
        </w:rPr>
      </w:pPr>
      <w:r w:rsidRPr="003A6692">
        <w:t>ДВНЗ «Київський національний економічний університет ім. В.Гетьмана»</w:t>
      </w:r>
      <w:r>
        <w:rPr>
          <w:lang w:val="ru-RU"/>
        </w:rPr>
        <w:t xml:space="preserve"> </w:t>
      </w:r>
      <w:r w:rsidRPr="003A6692">
        <w:t>(Україна)</w:t>
      </w:r>
    </w:p>
    <w:p w:rsidR="0042242F" w:rsidRPr="00E90AE4" w:rsidRDefault="008408CE" w:rsidP="0042242F">
      <w:pPr>
        <w:jc w:val="right"/>
        <w:rPr>
          <w:b/>
          <w:vertAlign w:val="superscript"/>
          <w:lang w:val="ru-RU"/>
        </w:rPr>
      </w:pPr>
      <w:r w:rsidRPr="008408CE">
        <w:rPr>
          <w:b/>
        </w:rPr>
        <w:t>Єва Корелеська</w:t>
      </w:r>
    </w:p>
    <w:p w:rsidR="0042242F" w:rsidRDefault="00E172E4" w:rsidP="0042242F">
      <w:pPr>
        <w:jc w:val="right"/>
        <w:rPr>
          <w:b/>
          <w:i/>
        </w:rPr>
      </w:pPr>
      <w:r>
        <w:rPr>
          <w:b/>
          <w:i/>
        </w:rPr>
        <w:t>д</w:t>
      </w:r>
      <w:r w:rsidR="008408CE">
        <w:rPr>
          <w:b/>
          <w:i/>
        </w:rPr>
        <w:t>октор</w:t>
      </w:r>
      <w:r>
        <w:rPr>
          <w:b/>
          <w:i/>
        </w:rPr>
        <w:t>, інженер</w:t>
      </w:r>
    </w:p>
    <w:p w:rsidR="00E64F6A" w:rsidRPr="0042242F" w:rsidRDefault="00D4032D" w:rsidP="0042242F">
      <w:pPr>
        <w:jc w:val="right"/>
        <w:rPr>
          <w:b/>
          <w:i/>
        </w:rPr>
      </w:pPr>
      <w:r w:rsidRPr="003A6692">
        <w:t>Технологічно-природничий університет  ім. Яна і Єнджея Снядецьких у Бидгощі (Польща)</w:t>
      </w:r>
    </w:p>
    <w:p w:rsidR="002553DB" w:rsidRPr="0042242F" w:rsidRDefault="002553DB" w:rsidP="00D4032D">
      <w:pPr>
        <w:spacing w:line="360" w:lineRule="auto"/>
        <w:jc w:val="right"/>
        <w:rPr>
          <w:b/>
          <w:i/>
        </w:rPr>
      </w:pPr>
    </w:p>
    <w:p w:rsidR="00E64F6A" w:rsidRPr="0042242F" w:rsidRDefault="00BE546D" w:rsidP="00E64F6A">
      <w:pPr>
        <w:spacing w:line="360" w:lineRule="auto"/>
        <w:ind w:firstLine="720"/>
        <w:jc w:val="center"/>
        <w:rPr>
          <w:b/>
          <w:caps/>
        </w:rPr>
      </w:pPr>
      <w:r w:rsidRPr="0042242F">
        <w:rPr>
          <w:b/>
          <w:caps/>
        </w:rPr>
        <w:t>соціальні аспекти розвитку УКраїни</w:t>
      </w:r>
    </w:p>
    <w:p w:rsidR="00C10D9A" w:rsidRPr="00C10D9A" w:rsidRDefault="00C10D9A" w:rsidP="00C10D9A">
      <w:pPr>
        <w:ind w:firstLine="709"/>
        <w:jc w:val="both"/>
        <w:rPr>
          <w:i/>
          <w:lang w:val="ru-RU" w:eastAsia="ru-RU"/>
        </w:rPr>
      </w:pPr>
      <w:r w:rsidRPr="00C10D9A">
        <w:rPr>
          <w:i/>
          <w:lang w:val="ru-RU" w:eastAsia="ru-RU"/>
        </w:rPr>
        <w:t xml:space="preserve">У </w:t>
      </w:r>
      <w:proofErr w:type="spellStart"/>
      <w:r w:rsidRPr="00C10D9A">
        <w:rPr>
          <w:i/>
          <w:lang w:val="ru-RU" w:eastAsia="ru-RU"/>
        </w:rPr>
        <w:t>статті</w:t>
      </w:r>
      <w:proofErr w:type="spellEnd"/>
      <w:r w:rsidRPr="00C10D9A">
        <w:rPr>
          <w:b/>
          <w:sz w:val="28"/>
          <w:lang w:val="ru-RU" w:eastAsia="ru-RU"/>
        </w:rPr>
        <w:t xml:space="preserve"> </w:t>
      </w:r>
      <w:proofErr w:type="spellStart"/>
      <w:r w:rsidRPr="00C10D9A">
        <w:rPr>
          <w:i/>
          <w:lang w:val="ru-RU" w:eastAsia="ru-RU"/>
        </w:rPr>
        <w:t>здійснено</w:t>
      </w:r>
      <w:proofErr w:type="spellEnd"/>
      <w:r w:rsidRPr="00C10D9A">
        <w:rPr>
          <w:i/>
          <w:lang w:val="ru-RU" w:eastAsia="ru-RU"/>
        </w:rPr>
        <w:t xml:space="preserve"> </w:t>
      </w:r>
      <w:proofErr w:type="spellStart"/>
      <w:r w:rsidRPr="00C10D9A">
        <w:rPr>
          <w:i/>
          <w:lang w:val="ru-RU" w:eastAsia="ru-RU"/>
        </w:rPr>
        <w:t>аналіз</w:t>
      </w:r>
      <w:proofErr w:type="spellEnd"/>
      <w:r w:rsidRPr="00C10D9A">
        <w:rPr>
          <w:i/>
          <w:lang w:val="ru-RU" w:eastAsia="ru-RU"/>
        </w:rPr>
        <w:t xml:space="preserve"> </w:t>
      </w:r>
      <w:proofErr w:type="spellStart"/>
      <w:r w:rsidRPr="00467E1E">
        <w:rPr>
          <w:i/>
          <w:lang w:val="ru-RU" w:eastAsia="ru-RU"/>
        </w:rPr>
        <w:t>соціальної</w:t>
      </w:r>
      <w:proofErr w:type="spellEnd"/>
      <w:r w:rsidRPr="00467E1E">
        <w:rPr>
          <w:i/>
          <w:lang w:val="ru-RU" w:eastAsia="ru-RU"/>
        </w:rPr>
        <w:t xml:space="preserve"> </w:t>
      </w:r>
      <w:proofErr w:type="spellStart"/>
      <w:r w:rsidRPr="00467E1E">
        <w:rPr>
          <w:i/>
          <w:lang w:val="ru-RU" w:eastAsia="ru-RU"/>
        </w:rPr>
        <w:t>сфери</w:t>
      </w:r>
      <w:proofErr w:type="spellEnd"/>
      <w:r w:rsidRPr="00467E1E">
        <w:rPr>
          <w:i/>
          <w:lang w:val="ru-RU" w:eastAsia="ru-RU"/>
        </w:rPr>
        <w:t>.</w:t>
      </w:r>
      <w:r w:rsidRPr="00C10D9A">
        <w:rPr>
          <w:i/>
          <w:lang w:val="ru-RU" w:eastAsia="ru-RU"/>
        </w:rPr>
        <w:t xml:space="preserve"> </w:t>
      </w:r>
      <w:proofErr w:type="spellStart"/>
      <w:r w:rsidRPr="00C10D9A">
        <w:rPr>
          <w:i/>
          <w:lang w:val="ru-RU" w:eastAsia="ru-RU"/>
        </w:rPr>
        <w:t>Виявлено</w:t>
      </w:r>
      <w:proofErr w:type="spellEnd"/>
      <w:r w:rsidRPr="00C10D9A">
        <w:rPr>
          <w:i/>
          <w:lang w:val="ru-RU" w:eastAsia="ru-RU"/>
        </w:rPr>
        <w:t xml:space="preserve"> низку проблем, </w:t>
      </w:r>
      <w:proofErr w:type="spellStart"/>
      <w:r w:rsidRPr="00C10D9A">
        <w:rPr>
          <w:i/>
          <w:lang w:val="ru-RU" w:eastAsia="ru-RU"/>
        </w:rPr>
        <w:t>які</w:t>
      </w:r>
      <w:proofErr w:type="spellEnd"/>
      <w:r w:rsidRPr="00C10D9A">
        <w:rPr>
          <w:i/>
          <w:lang w:val="ru-RU" w:eastAsia="ru-RU"/>
        </w:rPr>
        <w:t xml:space="preserve"> </w:t>
      </w:r>
      <w:proofErr w:type="spellStart"/>
      <w:r w:rsidRPr="00467E1E">
        <w:rPr>
          <w:i/>
          <w:lang w:val="ru-RU" w:eastAsia="ru-RU"/>
        </w:rPr>
        <w:t>носять</w:t>
      </w:r>
      <w:proofErr w:type="spellEnd"/>
      <w:r w:rsidRPr="00467E1E">
        <w:rPr>
          <w:i/>
          <w:lang w:val="ru-RU" w:eastAsia="ru-RU"/>
        </w:rPr>
        <w:t xml:space="preserve"> </w:t>
      </w:r>
      <w:proofErr w:type="spellStart"/>
      <w:r w:rsidRPr="00467E1E">
        <w:rPr>
          <w:i/>
          <w:lang w:val="ru-RU" w:eastAsia="ru-RU"/>
        </w:rPr>
        <w:t>системний</w:t>
      </w:r>
      <w:proofErr w:type="spellEnd"/>
      <w:r w:rsidRPr="00467E1E">
        <w:rPr>
          <w:i/>
          <w:lang w:val="ru-RU" w:eastAsia="ru-RU"/>
        </w:rPr>
        <w:t xml:space="preserve"> характер і </w:t>
      </w:r>
      <w:proofErr w:type="spellStart"/>
      <w:r w:rsidRPr="00467E1E">
        <w:rPr>
          <w:i/>
          <w:lang w:val="ru-RU" w:eastAsia="ru-RU"/>
        </w:rPr>
        <w:t>вливають</w:t>
      </w:r>
      <w:proofErr w:type="spellEnd"/>
      <w:r w:rsidRPr="00467E1E">
        <w:rPr>
          <w:i/>
          <w:lang w:val="ru-RU" w:eastAsia="ru-RU"/>
        </w:rPr>
        <w:t xml:space="preserve"> на </w:t>
      </w:r>
      <w:proofErr w:type="spellStart"/>
      <w:r w:rsidRPr="00467E1E">
        <w:rPr>
          <w:i/>
          <w:lang w:val="ru-RU" w:eastAsia="ru-RU"/>
        </w:rPr>
        <w:t>визначення</w:t>
      </w:r>
      <w:proofErr w:type="spellEnd"/>
      <w:r w:rsidRPr="00467E1E">
        <w:rPr>
          <w:i/>
          <w:lang w:val="ru-RU" w:eastAsia="ru-RU"/>
        </w:rPr>
        <w:t xml:space="preserve"> </w:t>
      </w:r>
      <w:proofErr w:type="spellStart"/>
      <w:r w:rsidRPr="00467E1E">
        <w:rPr>
          <w:i/>
          <w:lang w:val="ru-RU" w:eastAsia="ru-RU"/>
        </w:rPr>
        <w:t>стратегічних</w:t>
      </w:r>
      <w:proofErr w:type="spellEnd"/>
      <w:r w:rsidRPr="00467E1E">
        <w:rPr>
          <w:i/>
          <w:lang w:val="ru-RU" w:eastAsia="ru-RU"/>
        </w:rPr>
        <w:t xml:space="preserve"> </w:t>
      </w:r>
      <w:proofErr w:type="spellStart"/>
      <w:r w:rsidRPr="00467E1E">
        <w:rPr>
          <w:i/>
          <w:lang w:val="ru-RU" w:eastAsia="ru-RU"/>
        </w:rPr>
        <w:t>орієнтирів</w:t>
      </w:r>
      <w:proofErr w:type="spellEnd"/>
      <w:r w:rsidRPr="00467E1E">
        <w:rPr>
          <w:i/>
          <w:lang w:val="ru-RU" w:eastAsia="ru-RU"/>
        </w:rPr>
        <w:t xml:space="preserve"> </w:t>
      </w:r>
      <w:proofErr w:type="spellStart"/>
      <w:r w:rsidRPr="00467E1E">
        <w:rPr>
          <w:i/>
          <w:lang w:val="ru-RU" w:eastAsia="ru-RU"/>
        </w:rPr>
        <w:t>соціальної</w:t>
      </w:r>
      <w:proofErr w:type="spellEnd"/>
      <w:r w:rsidRPr="00467E1E">
        <w:rPr>
          <w:i/>
          <w:lang w:val="ru-RU" w:eastAsia="ru-RU"/>
        </w:rPr>
        <w:t xml:space="preserve"> </w:t>
      </w:r>
      <w:proofErr w:type="spellStart"/>
      <w:r w:rsidRPr="00467E1E">
        <w:rPr>
          <w:i/>
          <w:lang w:val="ru-RU" w:eastAsia="ru-RU"/>
        </w:rPr>
        <w:t>політики</w:t>
      </w:r>
      <w:proofErr w:type="spellEnd"/>
      <w:r w:rsidRPr="00467E1E">
        <w:rPr>
          <w:i/>
          <w:lang w:val="ru-RU" w:eastAsia="ru-RU"/>
        </w:rPr>
        <w:t xml:space="preserve">. Дано </w:t>
      </w:r>
      <w:proofErr w:type="spellStart"/>
      <w:r w:rsidRPr="00467E1E">
        <w:rPr>
          <w:i/>
          <w:lang w:val="ru-RU" w:eastAsia="ru-RU"/>
        </w:rPr>
        <w:t>оцінку</w:t>
      </w:r>
      <w:proofErr w:type="spellEnd"/>
      <w:r w:rsidRPr="00467E1E">
        <w:rPr>
          <w:i/>
          <w:lang w:val="ru-RU" w:eastAsia="ru-RU"/>
        </w:rPr>
        <w:t xml:space="preserve"> </w:t>
      </w:r>
      <w:proofErr w:type="spellStart"/>
      <w:r w:rsidRPr="00467E1E">
        <w:rPr>
          <w:i/>
          <w:lang w:val="ru-RU" w:eastAsia="ru-RU"/>
        </w:rPr>
        <w:t>окремим</w:t>
      </w:r>
      <w:proofErr w:type="spellEnd"/>
      <w:r w:rsidRPr="00467E1E">
        <w:rPr>
          <w:i/>
          <w:lang w:val="ru-RU" w:eastAsia="ru-RU"/>
        </w:rPr>
        <w:t xml:space="preserve"> </w:t>
      </w:r>
      <w:proofErr w:type="spellStart"/>
      <w:r w:rsidRPr="00467E1E">
        <w:rPr>
          <w:i/>
          <w:lang w:val="ru-RU" w:eastAsia="ru-RU"/>
        </w:rPr>
        <w:t>законодавчим</w:t>
      </w:r>
      <w:proofErr w:type="spellEnd"/>
      <w:r w:rsidRPr="00467E1E">
        <w:rPr>
          <w:i/>
          <w:lang w:val="ru-RU" w:eastAsia="ru-RU"/>
        </w:rPr>
        <w:t xml:space="preserve"> актам </w:t>
      </w:r>
      <w:proofErr w:type="spellStart"/>
      <w:r w:rsidRPr="00467E1E">
        <w:rPr>
          <w:i/>
          <w:lang w:val="ru-RU" w:eastAsia="ru-RU"/>
        </w:rPr>
        <w:t>стратегічного</w:t>
      </w:r>
      <w:proofErr w:type="spellEnd"/>
      <w:r w:rsidRPr="00467E1E">
        <w:rPr>
          <w:i/>
          <w:lang w:val="ru-RU" w:eastAsia="ru-RU"/>
        </w:rPr>
        <w:t xml:space="preserve"> характеру та </w:t>
      </w:r>
      <w:proofErr w:type="spellStart"/>
      <w:r w:rsidR="00467E1E" w:rsidRPr="00467E1E">
        <w:rPr>
          <w:i/>
          <w:lang w:val="ru-RU" w:eastAsia="ru-RU"/>
        </w:rPr>
        <w:t>окреслено</w:t>
      </w:r>
      <w:proofErr w:type="spellEnd"/>
      <w:r w:rsidR="00467E1E" w:rsidRPr="00467E1E">
        <w:rPr>
          <w:i/>
          <w:lang w:val="ru-RU" w:eastAsia="ru-RU"/>
        </w:rPr>
        <w:t xml:space="preserve"> </w:t>
      </w:r>
      <w:proofErr w:type="spellStart"/>
      <w:r w:rsidR="00467E1E" w:rsidRPr="00467E1E">
        <w:rPr>
          <w:i/>
          <w:lang w:val="ru-RU" w:eastAsia="ru-RU"/>
        </w:rPr>
        <w:t>пріоритетні</w:t>
      </w:r>
      <w:proofErr w:type="spellEnd"/>
      <w:r w:rsidR="00467E1E" w:rsidRPr="00467E1E">
        <w:rPr>
          <w:i/>
          <w:lang w:val="ru-RU" w:eastAsia="ru-RU"/>
        </w:rPr>
        <w:t xml:space="preserve"> </w:t>
      </w:r>
      <w:proofErr w:type="spellStart"/>
      <w:r w:rsidR="00467E1E" w:rsidRPr="00467E1E">
        <w:rPr>
          <w:i/>
          <w:lang w:val="ru-RU" w:eastAsia="ru-RU"/>
        </w:rPr>
        <w:t>напрями</w:t>
      </w:r>
      <w:proofErr w:type="spellEnd"/>
      <w:r w:rsidR="00467E1E" w:rsidRPr="00467E1E">
        <w:rPr>
          <w:i/>
          <w:lang w:val="ru-RU" w:eastAsia="ru-RU"/>
        </w:rPr>
        <w:t xml:space="preserve"> </w:t>
      </w:r>
      <w:proofErr w:type="spellStart"/>
      <w:r w:rsidR="00467E1E" w:rsidRPr="00467E1E">
        <w:rPr>
          <w:i/>
          <w:lang w:val="ru-RU" w:eastAsia="ru-RU"/>
        </w:rPr>
        <w:t>реалізації</w:t>
      </w:r>
      <w:proofErr w:type="spellEnd"/>
      <w:r w:rsidR="00467E1E" w:rsidRPr="00467E1E">
        <w:rPr>
          <w:i/>
          <w:lang w:val="ru-RU" w:eastAsia="ru-RU"/>
        </w:rPr>
        <w:t xml:space="preserve"> </w:t>
      </w:r>
      <w:proofErr w:type="spellStart"/>
      <w:r w:rsidR="00467E1E" w:rsidRPr="00467E1E">
        <w:rPr>
          <w:i/>
          <w:lang w:val="ru-RU" w:eastAsia="ru-RU"/>
        </w:rPr>
        <w:t>соціальної</w:t>
      </w:r>
      <w:proofErr w:type="spellEnd"/>
      <w:r w:rsidR="00467E1E" w:rsidRPr="00467E1E">
        <w:rPr>
          <w:i/>
          <w:lang w:val="ru-RU" w:eastAsia="ru-RU"/>
        </w:rPr>
        <w:t xml:space="preserve"> </w:t>
      </w:r>
      <w:proofErr w:type="spellStart"/>
      <w:r w:rsidR="00467E1E" w:rsidRPr="00467E1E">
        <w:rPr>
          <w:i/>
          <w:lang w:val="ru-RU" w:eastAsia="ru-RU"/>
        </w:rPr>
        <w:t>політики</w:t>
      </w:r>
      <w:proofErr w:type="spellEnd"/>
      <w:r w:rsidR="00467E1E" w:rsidRPr="00467E1E">
        <w:rPr>
          <w:i/>
          <w:lang w:val="ru-RU" w:eastAsia="ru-RU"/>
        </w:rPr>
        <w:t xml:space="preserve"> </w:t>
      </w:r>
      <w:proofErr w:type="spellStart"/>
      <w:r w:rsidR="00467E1E" w:rsidRPr="00467E1E">
        <w:rPr>
          <w:i/>
          <w:lang w:val="ru-RU" w:eastAsia="ru-RU"/>
        </w:rPr>
        <w:t>України</w:t>
      </w:r>
      <w:proofErr w:type="spellEnd"/>
      <w:r w:rsidR="00467E1E" w:rsidRPr="00467E1E">
        <w:rPr>
          <w:i/>
          <w:lang w:val="ru-RU" w:eastAsia="ru-RU"/>
        </w:rPr>
        <w:t xml:space="preserve">. </w:t>
      </w:r>
    </w:p>
    <w:p w:rsidR="00C10D9A" w:rsidRDefault="00307BFD" w:rsidP="00C10D9A">
      <w:pPr>
        <w:ind w:firstLine="709"/>
        <w:jc w:val="both"/>
        <w:rPr>
          <w:i/>
          <w:lang w:val="ru-RU" w:eastAsia="ru-RU"/>
        </w:rPr>
      </w:pPr>
      <w:proofErr w:type="spellStart"/>
      <w:r w:rsidRPr="00307BFD">
        <w:rPr>
          <w:b/>
          <w:i/>
          <w:lang w:val="ru-RU" w:eastAsia="ru-RU"/>
        </w:rPr>
        <w:t>Ключові</w:t>
      </w:r>
      <w:proofErr w:type="spellEnd"/>
      <w:r w:rsidRPr="00307BFD">
        <w:rPr>
          <w:b/>
          <w:i/>
          <w:lang w:val="ru-RU" w:eastAsia="ru-RU"/>
        </w:rPr>
        <w:t xml:space="preserve"> слова</w:t>
      </w:r>
      <w:r w:rsidRPr="00307BFD">
        <w:rPr>
          <w:i/>
          <w:lang w:val="ru-RU" w:eastAsia="ru-RU"/>
        </w:rPr>
        <w:t xml:space="preserve">: </w:t>
      </w:r>
      <w:proofErr w:type="spellStart"/>
      <w:r w:rsidRPr="00307BFD">
        <w:rPr>
          <w:i/>
          <w:lang w:val="ru-RU" w:eastAsia="ru-RU"/>
        </w:rPr>
        <w:t>соціальна</w:t>
      </w:r>
      <w:proofErr w:type="spellEnd"/>
      <w:r w:rsidRPr="00307BFD">
        <w:rPr>
          <w:i/>
          <w:lang w:val="ru-RU" w:eastAsia="ru-RU"/>
        </w:rPr>
        <w:t xml:space="preserve"> </w:t>
      </w:r>
      <w:proofErr w:type="spellStart"/>
      <w:r w:rsidRPr="00307BFD">
        <w:rPr>
          <w:i/>
          <w:lang w:val="ru-RU" w:eastAsia="ru-RU"/>
        </w:rPr>
        <w:t>політика</w:t>
      </w:r>
      <w:proofErr w:type="spellEnd"/>
      <w:r w:rsidRPr="00307BFD">
        <w:rPr>
          <w:i/>
          <w:lang w:val="ru-RU" w:eastAsia="ru-RU"/>
        </w:rPr>
        <w:t xml:space="preserve">, </w:t>
      </w:r>
      <w:proofErr w:type="spellStart"/>
      <w:r w:rsidRPr="00307BFD">
        <w:rPr>
          <w:i/>
          <w:lang w:val="ru-RU" w:eastAsia="ru-RU"/>
        </w:rPr>
        <w:t>соціальні</w:t>
      </w:r>
      <w:proofErr w:type="spellEnd"/>
      <w:r w:rsidRPr="00307BFD">
        <w:rPr>
          <w:i/>
          <w:lang w:val="ru-RU" w:eastAsia="ru-RU"/>
        </w:rPr>
        <w:t xml:space="preserve"> </w:t>
      </w:r>
      <w:proofErr w:type="spellStart"/>
      <w:r w:rsidRPr="00307BFD">
        <w:rPr>
          <w:i/>
          <w:lang w:val="ru-RU" w:eastAsia="ru-RU"/>
        </w:rPr>
        <w:t>проблеми</w:t>
      </w:r>
      <w:proofErr w:type="spellEnd"/>
      <w:r w:rsidRPr="00307BFD">
        <w:rPr>
          <w:i/>
          <w:lang w:val="ru-RU" w:eastAsia="ru-RU"/>
        </w:rPr>
        <w:t>,</w:t>
      </w:r>
      <w:r>
        <w:rPr>
          <w:i/>
          <w:lang w:val="ru-RU" w:eastAsia="ru-RU"/>
        </w:rPr>
        <w:t xml:space="preserve"> </w:t>
      </w:r>
      <w:proofErr w:type="spellStart"/>
      <w:r>
        <w:rPr>
          <w:i/>
          <w:lang w:val="ru-RU" w:eastAsia="ru-RU"/>
        </w:rPr>
        <w:t>розвиток</w:t>
      </w:r>
      <w:proofErr w:type="spellEnd"/>
      <w:r>
        <w:rPr>
          <w:i/>
          <w:lang w:val="ru-RU" w:eastAsia="ru-RU"/>
        </w:rPr>
        <w:t xml:space="preserve">, </w:t>
      </w:r>
      <w:proofErr w:type="spellStart"/>
      <w:r w:rsidRPr="00307BFD">
        <w:rPr>
          <w:i/>
          <w:lang w:val="ru-RU" w:eastAsia="ru-RU"/>
        </w:rPr>
        <w:t>стратегія</w:t>
      </w:r>
      <w:proofErr w:type="spellEnd"/>
      <w:r w:rsidRPr="00307BFD">
        <w:rPr>
          <w:i/>
          <w:lang w:val="ru-RU" w:eastAsia="ru-RU"/>
        </w:rPr>
        <w:t xml:space="preserve">, </w:t>
      </w:r>
      <w:proofErr w:type="spellStart"/>
      <w:r w:rsidRPr="00307BFD">
        <w:rPr>
          <w:i/>
          <w:lang w:val="ru-RU" w:eastAsia="ru-RU"/>
        </w:rPr>
        <w:t>прожитковий</w:t>
      </w:r>
      <w:proofErr w:type="spellEnd"/>
      <w:r w:rsidRPr="00307BFD">
        <w:rPr>
          <w:i/>
          <w:lang w:val="ru-RU" w:eastAsia="ru-RU"/>
        </w:rPr>
        <w:t xml:space="preserve"> </w:t>
      </w:r>
      <w:proofErr w:type="spellStart"/>
      <w:r w:rsidRPr="00307BFD">
        <w:rPr>
          <w:i/>
          <w:lang w:val="ru-RU" w:eastAsia="ru-RU"/>
        </w:rPr>
        <w:t>мінімум</w:t>
      </w:r>
      <w:proofErr w:type="spellEnd"/>
      <w:r w:rsidRPr="00307BFD">
        <w:rPr>
          <w:i/>
          <w:lang w:val="ru-RU" w:eastAsia="ru-RU"/>
        </w:rPr>
        <w:t xml:space="preserve">, </w:t>
      </w:r>
      <w:proofErr w:type="spellStart"/>
      <w:r w:rsidRPr="00307BFD">
        <w:rPr>
          <w:i/>
          <w:lang w:val="ru-RU" w:eastAsia="ru-RU"/>
        </w:rPr>
        <w:t>соціальна</w:t>
      </w:r>
      <w:proofErr w:type="spellEnd"/>
      <w:r w:rsidRPr="00307BFD">
        <w:rPr>
          <w:i/>
          <w:lang w:val="ru-RU" w:eastAsia="ru-RU"/>
        </w:rPr>
        <w:t xml:space="preserve"> сфера.</w:t>
      </w:r>
    </w:p>
    <w:p w:rsidR="00307BFD" w:rsidRPr="00C10D9A" w:rsidRDefault="00307BFD" w:rsidP="00C10D9A">
      <w:pPr>
        <w:ind w:firstLine="709"/>
        <w:jc w:val="both"/>
        <w:rPr>
          <w:i/>
          <w:highlight w:val="yellow"/>
          <w:lang w:val="ru-RU" w:eastAsia="ru-RU"/>
        </w:rPr>
      </w:pPr>
    </w:p>
    <w:p w:rsidR="007F5622" w:rsidRPr="0042242F" w:rsidRDefault="007F5622" w:rsidP="007F5622">
      <w:pPr>
        <w:jc w:val="right"/>
        <w:rPr>
          <w:b/>
          <w:caps/>
          <w:vertAlign w:val="superscript"/>
        </w:rPr>
      </w:pPr>
      <w:r>
        <w:rPr>
          <w:b/>
          <w:caps/>
          <w:lang w:val="ru-RU"/>
        </w:rPr>
        <w:t>Г</w:t>
      </w:r>
      <w:r w:rsidRPr="008408CE">
        <w:rPr>
          <w:b/>
        </w:rPr>
        <w:t>а</w:t>
      </w:r>
      <w:r>
        <w:rPr>
          <w:b/>
        </w:rPr>
        <w:t>лина</w:t>
      </w:r>
      <w:r w:rsidRPr="008408CE">
        <w:rPr>
          <w:b/>
        </w:rPr>
        <w:t xml:space="preserve"> </w:t>
      </w:r>
      <w:r>
        <w:rPr>
          <w:b/>
        </w:rPr>
        <w:t>Л</w:t>
      </w:r>
      <w:r w:rsidRPr="008408CE">
        <w:rPr>
          <w:b/>
        </w:rPr>
        <w:t>о</w:t>
      </w:r>
      <w:r>
        <w:rPr>
          <w:b/>
        </w:rPr>
        <w:t>пушняк</w:t>
      </w:r>
    </w:p>
    <w:p w:rsidR="007F5622" w:rsidRDefault="007F5622" w:rsidP="007F5622">
      <w:pPr>
        <w:jc w:val="right"/>
        <w:rPr>
          <w:i/>
          <w:lang w:val="en-US"/>
        </w:rPr>
      </w:pPr>
      <w:r w:rsidRPr="003A6692">
        <w:rPr>
          <w:i/>
        </w:rPr>
        <w:t xml:space="preserve">доктор </w:t>
      </w:r>
      <w:r w:rsidRPr="003A6692">
        <w:rPr>
          <w:i/>
          <w:lang w:val="ru-RU"/>
        </w:rPr>
        <w:t>э</w:t>
      </w:r>
      <w:r w:rsidRPr="003A6692">
        <w:rPr>
          <w:i/>
        </w:rPr>
        <w:t>коном</w:t>
      </w:r>
      <w:r w:rsidRPr="003A6692">
        <w:rPr>
          <w:i/>
          <w:lang w:val="ru-RU"/>
        </w:rPr>
        <w:t>и</w:t>
      </w:r>
      <w:r w:rsidRPr="003A6692">
        <w:rPr>
          <w:i/>
        </w:rPr>
        <w:t>ч</w:t>
      </w:r>
      <w:proofErr w:type="spellStart"/>
      <w:r w:rsidRPr="003A6692">
        <w:rPr>
          <w:i/>
          <w:lang w:val="ru-RU"/>
        </w:rPr>
        <w:t>ески</w:t>
      </w:r>
      <w:proofErr w:type="spellEnd"/>
      <w:r w:rsidRPr="003A6692">
        <w:rPr>
          <w:i/>
        </w:rPr>
        <w:t>х наук, профес</w:t>
      </w:r>
      <w:r w:rsidRPr="003A6692">
        <w:rPr>
          <w:i/>
          <w:lang w:val="ru-RU"/>
        </w:rPr>
        <w:t>с</w:t>
      </w:r>
      <w:r w:rsidRPr="003A6692">
        <w:rPr>
          <w:i/>
        </w:rPr>
        <w:t>ор</w:t>
      </w:r>
    </w:p>
    <w:p w:rsidR="00E90AE4" w:rsidRPr="00E90AE4" w:rsidRDefault="00E90AE4" w:rsidP="007F5622">
      <w:pPr>
        <w:jc w:val="right"/>
        <w:rPr>
          <w:i/>
          <w:lang w:val="en-US"/>
        </w:rPr>
      </w:pPr>
      <w:r w:rsidRPr="00E90AE4">
        <w:rPr>
          <w:i/>
          <w:lang w:val="ru-RU"/>
        </w:rPr>
        <w:t xml:space="preserve">ГВУЗ «Киевский национальный экономический университет им. </w:t>
      </w:r>
      <w:r w:rsidRPr="00E90AE4">
        <w:rPr>
          <w:i/>
          <w:lang w:val="en-US"/>
        </w:rPr>
        <w:t>В.Гетьмана" (Украина)</w:t>
      </w:r>
    </w:p>
    <w:p w:rsidR="007F5622" w:rsidRDefault="007F5622" w:rsidP="007F5622">
      <w:pPr>
        <w:jc w:val="right"/>
        <w:rPr>
          <w:b/>
          <w:vertAlign w:val="superscript"/>
          <w:lang w:val="en-US"/>
        </w:rPr>
      </w:pPr>
      <w:r>
        <w:rPr>
          <w:b/>
          <w:lang w:val="ru-RU"/>
        </w:rPr>
        <w:t>Е</w:t>
      </w:r>
      <w:r w:rsidRPr="008408CE">
        <w:rPr>
          <w:b/>
        </w:rPr>
        <w:t>ва Корелеська</w:t>
      </w:r>
    </w:p>
    <w:p w:rsidR="007F5622" w:rsidRPr="0042242F" w:rsidRDefault="00E172E4" w:rsidP="007F5622">
      <w:pPr>
        <w:jc w:val="right"/>
        <w:rPr>
          <w:b/>
          <w:i/>
        </w:rPr>
      </w:pPr>
      <w:r w:rsidRPr="00E172E4">
        <w:rPr>
          <w:i/>
        </w:rPr>
        <w:t xml:space="preserve">доктор, </w:t>
      </w:r>
      <w:r>
        <w:rPr>
          <w:i/>
        </w:rPr>
        <w:t>и</w:t>
      </w:r>
      <w:r w:rsidRPr="00E172E4">
        <w:rPr>
          <w:i/>
        </w:rPr>
        <w:t>нженер</w:t>
      </w:r>
    </w:p>
    <w:p w:rsidR="00307BFD" w:rsidRPr="003A6692" w:rsidRDefault="003A6692" w:rsidP="003A6692">
      <w:pPr>
        <w:jc w:val="right"/>
        <w:rPr>
          <w:lang w:val="ru-RU" w:eastAsia="ru-RU"/>
        </w:rPr>
      </w:pPr>
      <w:r w:rsidRPr="003A6692">
        <w:t xml:space="preserve"> Технологически естествознательн</w:t>
      </w:r>
      <w:proofErr w:type="spellStart"/>
      <w:r w:rsidRPr="003A6692">
        <w:rPr>
          <w:lang w:val="ru-RU"/>
        </w:rPr>
        <w:t>ый</w:t>
      </w:r>
      <w:proofErr w:type="spellEnd"/>
      <w:r w:rsidRPr="003A6692">
        <w:t xml:space="preserve"> университет им. Яна и Енджея Снядецких в Быдгоще (Польша)</w:t>
      </w:r>
    </w:p>
    <w:p w:rsidR="003A6692" w:rsidRDefault="003A6692" w:rsidP="00307BFD">
      <w:pPr>
        <w:ind w:firstLine="709"/>
        <w:jc w:val="center"/>
        <w:rPr>
          <w:b/>
          <w:lang w:val="ru-RU" w:eastAsia="ru-RU"/>
        </w:rPr>
      </w:pPr>
    </w:p>
    <w:p w:rsidR="00307BFD" w:rsidRDefault="00307BFD" w:rsidP="00307BFD">
      <w:pPr>
        <w:ind w:firstLine="709"/>
        <w:jc w:val="center"/>
        <w:rPr>
          <w:b/>
          <w:lang w:val="ru-RU" w:eastAsia="ru-RU"/>
        </w:rPr>
      </w:pPr>
      <w:r w:rsidRPr="00307BFD">
        <w:rPr>
          <w:b/>
          <w:lang w:val="ru-RU" w:eastAsia="ru-RU"/>
        </w:rPr>
        <w:t>СОЦИАЛЬНЫЕ АСПЕКТЫ РАЗВИТИЯ УКРАИНЫ</w:t>
      </w:r>
    </w:p>
    <w:p w:rsidR="00307BFD" w:rsidRPr="00307BFD" w:rsidRDefault="00307BFD" w:rsidP="00307BFD">
      <w:pPr>
        <w:ind w:firstLine="709"/>
        <w:jc w:val="center"/>
        <w:rPr>
          <w:b/>
          <w:lang w:val="ru-RU" w:eastAsia="ru-RU"/>
        </w:rPr>
      </w:pPr>
    </w:p>
    <w:p w:rsidR="00C10D9A" w:rsidRDefault="00FF0F20" w:rsidP="00C10D9A">
      <w:pPr>
        <w:ind w:firstLine="709"/>
        <w:jc w:val="both"/>
        <w:rPr>
          <w:i/>
          <w:lang w:val="ru-RU" w:eastAsia="ru-RU"/>
        </w:rPr>
      </w:pPr>
      <w:r w:rsidRPr="00FF0F20">
        <w:rPr>
          <w:i/>
          <w:lang w:val="ru-RU" w:eastAsia="ru-RU"/>
        </w:rPr>
        <w:t>В статье проведен анализ социальной сферы. Выявлен ряд проблем, которые носят системный характер и вливают на определение стратегических ориентиров социальной политики. Дана оценка отдельным законодательным актам стратегического характера и намечены приоритетные направления реализации социальной политики Украины.</w:t>
      </w:r>
    </w:p>
    <w:p w:rsidR="00FF0F20" w:rsidRDefault="00307BFD" w:rsidP="00C10D9A">
      <w:pPr>
        <w:ind w:firstLine="709"/>
        <w:jc w:val="both"/>
        <w:rPr>
          <w:i/>
          <w:lang w:val="ru-RU" w:eastAsia="ru-RU"/>
        </w:rPr>
      </w:pPr>
      <w:r w:rsidRPr="00307BFD">
        <w:rPr>
          <w:b/>
          <w:i/>
          <w:lang w:val="ru-RU" w:eastAsia="ru-RU"/>
        </w:rPr>
        <w:t>Ключевые слова</w:t>
      </w:r>
      <w:r w:rsidRPr="00307BFD">
        <w:rPr>
          <w:i/>
          <w:lang w:val="ru-RU" w:eastAsia="ru-RU"/>
        </w:rPr>
        <w:t>: социальная политика, социальные проблемы, развитие, стратегия, прожиточный минимум, социальная сфера.</w:t>
      </w:r>
    </w:p>
    <w:p w:rsidR="007F5622" w:rsidRDefault="007F5622" w:rsidP="007F5622">
      <w:pPr>
        <w:jc w:val="right"/>
        <w:rPr>
          <w:b/>
          <w:caps/>
          <w:lang w:val="ru-RU"/>
        </w:rPr>
      </w:pPr>
    </w:p>
    <w:p w:rsidR="007F5622" w:rsidRPr="0042242F" w:rsidRDefault="007F5622" w:rsidP="007F5622">
      <w:pPr>
        <w:jc w:val="right"/>
        <w:rPr>
          <w:b/>
          <w:caps/>
          <w:vertAlign w:val="superscript"/>
        </w:rPr>
      </w:pPr>
      <w:r w:rsidRPr="00E172E4">
        <w:rPr>
          <w:b/>
          <w:lang w:val="en-US"/>
        </w:rPr>
        <w:t>Halyna L</w:t>
      </w:r>
      <w:r>
        <w:rPr>
          <w:b/>
          <w:lang w:val="en-US"/>
        </w:rPr>
        <w:t>opushnyak</w:t>
      </w:r>
    </w:p>
    <w:p w:rsidR="007F5622" w:rsidRDefault="007F5622" w:rsidP="007F5622">
      <w:pPr>
        <w:jc w:val="right"/>
        <w:rPr>
          <w:b/>
          <w:i/>
          <w:lang w:val="en-US"/>
        </w:rPr>
      </w:pPr>
      <w:r w:rsidRPr="003A6692">
        <w:rPr>
          <w:i/>
        </w:rPr>
        <w:t>D.Sc. (Economics), Professor</w:t>
      </w:r>
      <w:r w:rsidRPr="007F5622">
        <w:rPr>
          <w:b/>
          <w:i/>
        </w:rPr>
        <w:t xml:space="preserve">, </w:t>
      </w:r>
    </w:p>
    <w:p w:rsidR="00E90AE4" w:rsidRPr="00E172E4" w:rsidRDefault="00E90AE4" w:rsidP="00E90AE4">
      <w:pPr>
        <w:jc w:val="right"/>
        <w:rPr>
          <w:lang w:val="en-US"/>
        </w:rPr>
      </w:pPr>
      <w:r w:rsidRPr="003A6692">
        <w:t xml:space="preserve">Kyiv National Economic University named after Vadym Hetman, Kyiv, Ukraine; </w:t>
      </w:r>
    </w:p>
    <w:p w:rsidR="007F5622" w:rsidRPr="00E90AE4" w:rsidRDefault="00E172E4" w:rsidP="007F5622">
      <w:pPr>
        <w:jc w:val="right"/>
        <w:rPr>
          <w:b/>
          <w:vertAlign w:val="superscript"/>
          <w:lang w:val="en-US"/>
        </w:rPr>
      </w:pPr>
      <w:r w:rsidRPr="00E172E4">
        <w:rPr>
          <w:b/>
        </w:rPr>
        <w:t>Ewa Koreleska</w:t>
      </w:r>
    </w:p>
    <w:p w:rsidR="007F5622" w:rsidRPr="0042242F" w:rsidRDefault="00E172E4" w:rsidP="007F5622">
      <w:pPr>
        <w:jc w:val="right"/>
        <w:rPr>
          <w:b/>
          <w:i/>
        </w:rPr>
      </w:pPr>
      <w:r w:rsidRPr="00E172E4">
        <w:rPr>
          <w:i/>
        </w:rPr>
        <w:t>Dr Eng.</w:t>
      </w:r>
    </w:p>
    <w:p w:rsidR="007F5622" w:rsidRPr="003A6692" w:rsidRDefault="007F5622" w:rsidP="007F5622">
      <w:pPr>
        <w:jc w:val="right"/>
      </w:pPr>
      <w:bookmarkStart w:id="0" w:name="_GoBack"/>
      <w:bookmarkEnd w:id="0"/>
      <w:r w:rsidRPr="003A6692">
        <w:t>UTP University of Science and Technology in Bydgoszcz,  Bydgoszcz, Poland</w:t>
      </w:r>
    </w:p>
    <w:p w:rsidR="00307BFD" w:rsidRPr="007F5622" w:rsidRDefault="00307BFD" w:rsidP="00C10D9A">
      <w:pPr>
        <w:ind w:firstLine="709"/>
        <w:jc w:val="both"/>
        <w:rPr>
          <w:i/>
          <w:highlight w:val="yellow"/>
          <w:lang w:eastAsia="ru-RU"/>
        </w:rPr>
      </w:pPr>
    </w:p>
    <w:p w:rsidR="007F5622" w:rsidRDefault="007F5622" w:rsidP="00307BFD">
      <w:pPr>
        <w:ind w:firstLine="709"/>
        <w:jc w:val="center"/>
        <w:rPr>
          <w:b/>
          <w:lang w:eastAsia="ru-RU"/>
        </w:rPr>
      </w:pPr>
    </w:p>
    <w:p w:rsidR="00307BFD" w:rsidRDefault="00307BFD" w:rsidP="00307BFD">
      <w:pPr>
        <w:ind w:firstLine="709"/>
        <w:jc w:val="center"/>
        <w:rPr>
          <w:b/>
          <w:lang w:eastAsia="ru-RU"/>
        </w:rPr>
      </w:pPr>
      <w:r w:rsidRPr="00307BFD">
        <w:rPr>
          <w:b/>
          <w:lang w:eastAsia="ru-RU"/>
        </w:rPr>
        <w:t>SOCIAL ASPECTS OF DEVELOPMENT OF UKRAINE</w:t>
      </w:r>
    </w:p>
    <w:p w:rsidR="00307BFD" w:rsidRPr="00307BFD" w:rsidRDefault="00307BFD" w:rsidP="00307BFD">
      <w:pPr>
        <w:ind w:firstLine="709"/>
        <w:jc w:val="center"/>
        <w:rPr>
          <w:b/>
          <w:lang w:eastAsia="ru-RU"/>
        </w:rPr>
      </w:pPr>
    </w:p>
    <w:p w:rsidR="00C10D9A" w:rsidRDefault="002553DB" w:rsidP="00C10D9A">
      <w:pPr>
        <w:ind w:firstLine="709"/>
        <w:jc w:val="both"/>
        <w:rPr>
          <w:i/>
          <w:lang w:eastAsia="ru-RU"/>
        </w:rPr>
      </w:pPr>
      <w:r w:rsidRPr="002553DB">
        <w:rPr>
          <w:i/>
          <w:lang w:val="en-US" w:eastAsia="ru-RU"/>
        </w:rPr>
        <w:t>The article analyzes the social sphere. A number of problems that are systemic and can influence on identifying the strategic guidelines of social policy are revealed. Certain legislative acts of strategic nature are estimated  in the article and priority areas of implementation of social policy of Ukraine are outlined.</w:t>
      </w:r>
    </w:p>
    <w:p w:rsidR="00BF5748" w:rsidRDefault="00307BFD" w:rsidP="00BF5748">
      <w:pPr>
        <w:ind w:firstLine="709"/>
        <w:jc w:val="both"/>
        <w:rPr>
          <w:rStyle w:val="apple-converted-space"/>
          <w:i/>
          <w:color w:val="333333"/>
          <w:shd w:val="clear" w:color="auto" w:fill="FFFFFF"/>
        </w:rPr>
      </w:pPr>
      <w:r w:rsidRPr="00307BFD">
        <w:rPr>
          <w:b/>
          <w:i/>
          <w:color w:val="333333"/>
          <w:shd w:val="clear" w:color="auto" w:fill="FFFFFF"/>
        </w:rPr>
        <w:t>Keywords</w:t>
      </w:r>
      <w:r w:rsidRPr="00307BFD">
        <w:rPr>
          <w:i/>
          <w:color w:val="333333"/>
          <w:shd w:val="clear" w:color="auto" w:fill="FFFFFF"/>
        </w:rPr>
        <w:t>:</w:t>
      </w:r>
      <w:r w:rsidRPr="00307BFD">
        <w:rPr>
          <w:rStyle w:val="apple-converted-space"/>
          <w:i/>
          <w:color w:val="333333"/>
          <w:shd w:val="clear" w:color="auto" w:fill="FFFFFF"/>
        </w:rPr>
        <w:t> </w:t>
      </w:r>
      <w:r w:rsidR="00BF5748" w:rsidRPr="00BF5748">
        <w:rPr>
          <w:rStyle w:val="apple-converted-space"/>
          <w:i/>
          <w:color w:val="333333"/>
          <w:shd w:val="clear" w:color="auto" w:fill="FFFFFF"/>
        </w:rPr>
        <w:t>social politics</w:t>
      </w:r>
      <w:r w:rsidR="00BF5748">
        <w:rPr>
          <w:rStyle w:val="apple-converted-space"/>
          <w:i/>
          <w:color w:val="333333"/>
          <w:shd w:val="clear" w:color="auto" w:fill="FFFFFF"/>
        </w:rPr>
        <w:t xml:space="preserve">, </w:t>
      </w:r>
      <w:r w:rsidR="00BF5748" w:rsidRPr="00BF5748">
        <w:rPr>
          <w:rStyle w:val="apple-converted-space"/>
          <w:i/>
          <w:color w:val="333333"/>
          <w:shd w:val="clear" w:color="auto" w:fill="FFFFFF"/>
        </w:rPr>
        <w:t>social problems</w:t>
      </w:r>
      <w:r w:rsidR="00BF5748">
        <w:rPr>
          <w:rStyle w:val="apple-converted-space"/>
          <w:i/>
          <w:color w:val="333333"/>
          <w:shd w:val="clear" w:color="auto" w:fill="FFFFFF"/>
        </w:rPr>
        <w:t xml:space="preserve">, </w:t>
      </w:r>
      <w:r w:rsidR="00BF5748" w:rsidRPr="00BF5748">
        <w:rPr>
          <w:rStyle w:val="apple-converted-space"/>
          <w:i/>
          <w:color w:val="333333"/>
          <w:shd w:val="clear" w:color="auto" w:fill="FFFFFF"/>
        </w:rPr>
        <w:t>development</w:t>
      </w:r>
      <w:r w:rsidR="00BF5748">
        <w:rPr>
          <w:rStyle w:val="apple-converted-space"/>
          <w:i/>
          <w:color w:val="333333"/>
          <w:shd w:val="clear" w:color="auto" w:fill="FFFFFF"/>
        </w:rPr>
        <w:t xml:space="preserve">, </w:t>
      </w:r>
      <w:r w:rsidR="00BF5748" w:rsidRPr="00BF5748">
        <w:rPr>
          <w:rStyle w:val="apple-converted-space"/>
          <w:i/>
          <w:color w:val="333333"/>
          <w:shd w:val="clear" w:color="auto" w:fill="FFFFFF"/>
        </w:rPr>
        <w:t>strategy</w:t>
      </w:r>
      <w:r w:rsidR="00BF5748">
        <w:rPr>
          <w:rStyle w:val="apple-converted-space"/>
          <w:i/>
          <w:color w:val="333333"/>
          <w:shd w:val="clear" w:color="auto" w:fill="FFFFFF"/>
        </w:rPr>
        <w:t xml:space="preserve">, </w:t>
      </w:r>
      <w:r w:rsidR="00BF5748" w:rsidRPr="00BF5748">
        <w:rPr>
          <w:rStyle w:val="apple-converted-space"/>
          <w:i/>
          <w:color w:val="333333"/>
          <w:shd w:val="clear" w:color="auto" w:fill="FFFFFF"/>
        </w:rPr>
        <w:t>living wage</w:t>
      </w:r>
      <w:r w:rsidR="00BF5748">
        <w:rPr>
          <w:rStyle w:val="apple-converted-space"/>
          <w:i/>
          <w:color w:val="333333"/>
          <w:shd w:val="clear" w:color="auto" w:fill="FFFFFF"/>
        </w:rPr>
        <w:t xml:space="preserve">, </w:t>
      </w:r>
      <w:r w:rsidR="00BF5748" w:rsidRPr="00BF5748">
        <w:rPr>
          <w:rStyle w:val="apple-converted-space"/>
          <w:i/>
          <w:color w:val="333333"/>
          <w:shd w:val="clear" w:color="auto" w:fill="FFFFFF"/>
        </w:rPr>
        <w:t>social  sphere</w:t>
      </w:r>
      <w:r w:rsidR="00BF5748">
        <w:rPr>
          <w:rStyle w:val="apple-converted-space"/>
          <w:i/>
          <w:color w:val="333333"/>
          <w:shd w:val="clear" w:color="auto" w:fill="FFFFFF"/>
        </w:rPr>
        <w:t>.</w:t>
      </w:r>
    </w:p>
    <w:p w:rsidR="00DA28CD" w:rsidRPr="00DD66E5" w:rsidRDefault="00B34D7D" w:rsidP="00DD66E5">
      <w:pPr>
        <w:ind w:firstLine="720"/>
        <w:jc w:val="both"/>
      </w:pPr>
      <w:r w:rsidRPr="00DD66E5">
        <w:rPr>
          <w:b/>
        </w:rPr>
        <w:t>Постановка проблеми.</w:t>
      </w:r>
      <w:r w:rsidRPr="00DD66E5">
        <w:t xml:space="preserve"> </w:t>
      </w:r>
      <w:r w:rsidR="00683C73" w:rsidRPr="00DD66E5">
        <w:t xml:space="preserve">Інтеграційні та глобалізаційні процеси, що притаманні сучасному розвитку України, у поєднанні з кризовими періодами практично у всіх сферах життєдіяльності суспільства та наслідками військової агресієї Росії, призвели до загострення </w:t>
      </w:r>
      <w:r w:rsidR="00683C73" w:rsidRPr="00DD66E5">
        <w:lastRenderedPageBreak/>
        <w:t xml:space="preserve">проблем соціального спрямування, серед яких: </w:t>
      </w:r>
      <w:r w:rsidR="00934B7A" w:rsidRPr="00DD66E5">
        <w:t>збільшення вимушених міграційних потоків, поширення бідності серед працюючого населення, невідповідність рівня оплати праці її реальній продуктивності, неефективність функціонування систем охорони здоров’я</w:t>
      </w:r>
      <w:r w:rsidR="00150150" w:rsidRPr="00DD66E5">
        <w:t>,</w:t>
      </w:r>
      <w:r w:rsidR="00934B7A" w:rsidRPr="00DD66E5">
        <w:t xml:space="preserve"> освіти</w:t>
      </w:r>
      <w:r w:rsidR="00150150" w:rsidRPr="00DD66E5">
        <w:t xml:space="preserve"> та соціального захисту</w:t>
      </w:r>
      <w:r w:rsidR="00934B7A" w:rsidRPr="00DD66E5">
        <w:t xml:space="preserve">, </w:t>
      </w:r>
      <w:r w:rsidR="00683C73" w:rsidRPr="00DD66E5">
        <w:t xml:space="preserve">надмірна поляризація в доходах населення України, </w:t>
      </w:r>
      <w:r w:rsidR="00934B7A" w:rsidRPr="00DD66E5">
        <w:t>невідповідність пенсійного забезпечення зусиллям, витраченим протягом працездатного віку тощо.</w:t>
      </w:r>
      <w:r w:rsidR="00DA28CD" w:rsidRPr="00DD66E5">
        <w:t xml:space="preserve"> Їх вирішення потребує </w:t>
      </w:r>
      <w:r w:rsidR="002E6ECB" w:rsidRPr="00DD66E5">
        <w:t>адекватних</w:t>
      </w:r>
      <w:r w:rsidR="00DA28CD" w:rsidRPr="00DD66E5">
        <w:t xml:space="preserve"> змін державної політики, </w:t>
      </w:r>
      <w:r w:rsidR="002E6ECB" w:rsidRPr="00DD66E5">
        <w:t>в рамках якої</w:t>
      </w:r>
      <w:r w:rsidR="008B17BF" w:rsidRPr="00DD66E5">
        <w:t>,</w:t>
      </w:r>
      <w:r w:rsidR="002E6ECB" w:rsidRPr="00DD66E5">
        <w:t xml:space="preserve"> в першу чергу</w:t>
      </w:r>
      <w:r w:rsidR="008B17BF" w:rsidRPr="00DD66E5">
        <w:t>,</w:t>
      </w:r>
      <w:r w:rsidR="002E6ECB" w:rsidRPr="00DD66E5">
        <w:t xml:space="preserve"> реалізовуватимуться заходи, що </w:t>
      </w:r>
      <w:r w:rsidR="00DA28CD" w:rsidRPr="00DD66E5">
        <w:t xml:space="preserve">спрямовані </w:t>
      </w:r>
      <w:r w:rsidR="008B17BF" w:rsidRPr="00DD66E5">
        <w:t xml:space="preserve">на </w:t>
      </w:r>
      <w:r w:rsidR="002E6ECB" w:rsidRPr="00DD66E5">
        <w:t xml:space="preserve">підвищення </w:t>
      </w:r>
      <w:r w:rsidR="008B17BF" w:rsidRPr="00DD66E5">
        <w:t xml:space="preserve">рівня та </w:t>
      </w:r>
      <w:r w:rsidR="00760815" w:rsidRPr="00DD66E5">
        <w:t>якості життя</w:t>
      </w:r>
      <w:r w:rsidR="002E6ECB" w:rsidRPr="00DD66E5">
        <w:t xml:space="preserve"> населення України. Це вимагає </w:t>
      </w:r>
      <w:r w:rsidR="00AB7931" w:rsidRPr="00DD66E5">
        <w:t>детального аналізу стану соціальної сфери</w:t>
      </w:r>
      <w:r w:rsidR="008B17BF" w:rsidRPr="00DD66E5">
        <w:t xml:space="preserve"> та визначення стратегічних пріоритетів, </w:t>
      </w:r>
      <w:r w:rsidR="00AB7931" w:rsidRPr="00DD66E5">
        <w:t>що</w:t>
      </w:r>
      <w:r w:rsidR="002E6ECB" w:rsidRPr="00DD66E5">
        <w:t xml:space="preserve"> дозволять планомірно підготовляти основу для кожного наступного етапу перетворень.</w:t>
      </w:r>
    </w:p>
    <w:p w:rsidR="000D29EC" w:rsidRPr="00DD66E5" w:rsidRDefault="00B34D7D" w:rsidP="00DD66E5">
      <w:pPr>
        <w:ind w:firstLine="720"/>
        <w:jc w:val="both"/>
        <w:rPr>
          <w:lang w:val="ru-RU" w:eastAsia="ru-RU"/>
        </w:rPr>
      </w:pPr>
      <w:proofErr w:type="spellStart"/>
      <w:r w:rsidRPr="00DD66E5">
        <w:rPr>
          <w:b/>
          <w:lang w:val="ru-RU" w:eastAsia="ru-RU"/>
        </w:rPr>
        <w:t>Аналіз</w:t>
      </w:r>
      <w:proofErr w:type="spellEnd"/>
      <w:r w:rsidRPr="00DD66E5">
        <w:rPr>
          <w:b/>
          <w:lang w:val="ru-RU" w:eastAsia="ru-RU"/>
        </w:rPr>
        <w:t xml:space="preserve"> </w:t>
      </w:r>
      <w:proofErr w:type="spellStart"/>
      <w:r w:rsidRPr="00DD66E5">
        <w:rPr>
          <w:b/>
          <w:lang w:val="ru-RU" w:eastAsia="ru-RU"/>
        </w:rPr>
        <w:t>останніх</w:t>
      </w:r>
      <w:proofErr w:type="spellEnd"/>
      <w:r w:rsidRPr="00DD66E5">
        <w:rPr>
          <w:b/>
          <w:lang w:val="ru-RU" w:eastAsia="ru-RU"/>
        </w:rPr>
        <w:t xml:space="preserve"> </w:t>
      </w:r>
      <w:proofErr w:type="spellStart"/>
      <w:r w:rsidRPr="00DD66E5">
        <w:rPr>
          <w:b/>
          <w:lang w:val="ru-RU" w:eastAsia="ru-RU"/>
        </w:rPr>
        <w:t>досліджень</w:t>
      </w:r>
      <w:proofErr w:type="spellEnd"/>
      <w:r w:rsidRPr="00DD66E5">
        <w:rPr>
          <w:b/>
          <w:lang w:val="ru-RU" w:eastAsia="ru-RU"/>
        </w:rPr>
        <w:t xml:space="preserve"> і </w:t>
      </w:r>
      <w:proofErr w:type="spellStart"/>
      <w:r w:rsidRPr="00DD66E5">
        <w:rPr>
          <w:b/>
          <w:lang w:val="ru-RU" w:eastAsia="ru-RU"/>
        </w:rPr>
        <w:t>публікацій</w:t>
      </w:r>
      <w:proofErr w:type="spellEnd"/>
      <w:r w:rsidRPr="00DD66E5">
        <w:rPr>
          <w:b/>
          <w:lang w:val="ru-RU" w:eastAsia="ru-RU"/>
        </w:rPr>
        <w:t xml:space="preserve">. </w:t>
      </w:r>
      <w:proofErr w:type="spellStart"/>
      <w:r w:rsidR="008E00FC" w:rsidRPr="00DD66E5">
        <w:rPr>
          <w:lang w:val="ru-RU" w:eastAsia="ru-RU"/>
        </w:rPr>
        <w:t>Соціальна</w:t>
      </w:r>
      <w:proofErr w:type="spellEnd"/>
      <w:r w:rsidR="008E00FC" w:rsidRPr="00DD66E5">
        <w:rPr>
          <w:lang w:val="ru-RU" w:eastAsia="ru-RU"/>
        </w:rPr>
        <w:t xml:space="preserve"> проблематика</w:t>
      </w:r>
      <w:r w:rsidRPr="00DD66E5">
        <w:rPr>
          <w:lang w:val="ru-RU" w:eastAsia="ru-RU"/>
        </w:rPr>
        <w:t xml:space="preserve"> є предметом </w:t>
      </w:r>
      <w:proofErr w:type="spellStart"/>
      <w:r w:rsidRPr="00DD66E5">
        <w:rPr>
          <w:lang w:val="ru-RU" w:eastAsia="ru-RU"/>
        </w:rPr>
        <w:t>багатьох</w:t>
      </w:r>
      <w:proofErr w:type="spellEnd"/>
      <w:r w:rsidRPr="00DD66E5">
        <w:rPr>
          <w:lang w:val="ru-RU" w:eastAsia="ru-RU"/>
        </w:rPr>
        <w:t xml:space="preserve"> </w:t>
      </w:r>
      <w:proofErr w:type="spellStart"/>
      <w:r w:rsidRPr="00DD66E5">
        <w:rPr>
          <w:lang w:val="ru-RU" w:eastAsia="ru-RU"/>
        </w:rPr>
        <w:t>наукових</w:t>
      </w:r>
      <w:proofErr w:type="spellEnd"/>
      <w:r w:rsidRPr="00DD66E5">
        <w:rPr>
          <w:lang w:val="ru-RU" w:eastAsia="ru-RU"/>
        </w:rPr>
        <w:t xml:space="preserve"> </w:t>
      </w:r>
      <w:proofErr w:type="spellStart"/>
      <w:r w:rsidRPr="00DD66E5">
        <w:rPr>
          <w:lang w:val="ru-RU" w:eastAsia="ru-RU"/>
        </w:rPr>
        <w:t>досліджень</w:t>
      </w:r>
      <w:proofErr w:type="spellEnd"/>
      <w:r w:rsidRPr="00DD66E5">
        <w:rPr>
          <w:lang w:val="ru-RU" w:eastAsia="ru-RU"/>
        </w:rPr>
        <w:t xml:space="preserve">, </w:t>
      </w:r>
      <w:r w:rsidR="000B3C42" w:rsidRPr="00DD66E5">
        <w:rPr>
          <w:lang w:val="ru-RU" w:eastAsia="ru-RU"/>
        </w:rPr>
        <w:t xml:space="preserve">про </w:t>
      </w:r>
      <w:proofErr w:type="spellStart"/>
      <w:r w:rsidR="000B3C42" w:rsidRPr="00DD66E5">
        <w:rPr>
          <w:lang w:val="ru-RU" w:eastAsia="ru-RU"/>
        </w:rPr>
        <w:t>що</w:t>
      </w:r>
      <w:proofErr w:type="spellEnd"/>
      <w:r w:rsidR="000B3C42" w:rsidRPr="00DD66E5">
        <w:rPr>
          <w:lang w:val="ru-RU" w:eastAsia="ru-RU"/>
        </w:rPr>
        <w:t xml:space="preserve"> </w:t>
      </w:r>
      <w:proofErr w:type="spellStart"/>
      <w:r w:rsidR="000B3C42" w:rsidRPr="00DD66E5">
        <w:rPr>
          <w:lang w:val="ru-RU" w:eastAsia="ru-RU"/>
        </w:rPr>
        <w:t>свідчать</w:t>
      </w:r>
      <w:proofErr w:type="spellEnd"/>
      <w:r w:rsidR="000B3C42" w:rsidRPr="00DD66E5">
        <w:rPr>
          <w:lang w:val="ru-RU" w:eastAsia="ru-RU"/>
        </w:rPr>
        <w:t xml:space="preserve"> </w:t>
      </w:r>
      <w:proofErr w:type="spellStart"/>
      <w:r w:rsidR="000B3C42" w:rsidRPr="00DD66E5">
        <w:rPr>
          <w:lang w:val="ru-RU" w:eastAsia="ru-RU"/>
        </w:rPr>
        <w:t>нау</w:t>
      </w:r>
      <w:r w:rsidR="008E00FC" w:rsidRPr="00DD66E5">
        <w:rPr>
          <w:lang w:val="ru-RU" w:eastAsia="ru-RU"/>
        </w:rPr>
        <w:t>к</w:t>
      </w:r>
      <w:r w:rsidR="000B3C42" w:rsidRPr="00DD66E5">
        <w:rPr>
          <w:lang w:val="ru-RU" w:eastAsia="ru-RU"/>
        </w:rPr>
        <w:t>ові</w:t>
      </w:r>
      <w:proofErr w:type="spellEnd"/>
      <w:r w:rsidR="000B3C42" w:rsidRPr="00DD66E5">
        <w:rPr>
          <w:lang w:val="ru-RU" w:eastAsia="ru-RU"/>
        </w:rPr>
        <w:t xml:space="preserve"> </w:t>
      </w:r>
      <w:proofErr w:type="spellStart"/>
      <w:r w:rsidR="000B3C42" w:rsidRPr="00DD66E5">
        <w:rPr>
          <w:lang w:val="ru-RU" w:eastAsia="ru-RU"/>
        </w:rPr>
        <w:t>доробки</w:t>
      </w:r>
      <w:proofErr w:type="spellEnd"/>
      <w:r w:rsidR="000B3C42" w:rsidRPr="00DD66E5">
        <w:rPr>
          <w:lang w:val="ru-RU" w:eastAsia="ru-RU"/>
        </w:rPr>
        <w:t xml:space="preserve"> </w:t>
      </w:r>
      <w:proofErr w:type="spellStart"/>
      <w:r w:rsidR="000B3C42" w:rsidRPr="00DD66E5">
        <w:rPr>
          <w:lang w:val="ru-RU" w:eastAsia="ru-RU"/>
        </w:rPr>
        <w:t>провідних</w:t>
      </w:r>
      <w:proofErr w:type="spellEnd"/>
      <w:r w:rsidR="000B3C42" w:rsidRPr="00DD66E5">
        <w:rPr>
          <w:lang w:val="ru-RU" w:eastAsia="ru-RU"/>
        </w:rPr>
        <w:t xml:space="preserve"> </w:t>
      </w:r>
      <w:proofErr w:type="spellStart"/>
      <w:r w:rsidR="000B3C42" w:rsidRPr="00DD66E5">
        <w:rPr>
          <w:lang w:val="ru-RU" w:eastAsia="ru-RU"/>
        </w:rPr>
        <w:t>учених</w:t>
      </w:r>
      <w:proofErr w:type="spellEnd"/>
      <w:r w:rsidR="000B3C42" w:rsidRPr="00DD66E5">
        <w:rPr>
          <w:lang w:val="ru-RU" w:eastAsia="ru-RU"/>
        </w:rPr>
        <w:t>:</w:t>
      </w:r>
      <w:r w:rsidRPr="00DD66E5">
        <w:rPr>
          <w:lang w:val="ru-RU" w:eastAsia="ru-RU"/>
        </w:rPr>
        <w:t xml:space="preserve"> І. </w:t>
      </w:r>
      <w:proofErr w:type="spellStart"/>
      <w:r w:rsidRPr="00DD66E5">
        <w:rPr>
          <w:lang w:val="ru-RU" w:eastAsia="ru-RU"/>
        </w:rPr>
        <w:t>Гнибіденка</w:t>
      </w:r>
      <w:proofErr w:type="spellEnd"/>
      <w:r w:rsidRPr="00DD66E5">
        <w:rPr>
          <w:lang w:val="ru-RU" w:eastAsia="ru-RU"/>
        </w:rPr>
        <w:t xml:space="preserve">, А. Колота, О. </w:t>
      </w:r>
      <w:proofErr w:type="spellStart"/>
      <w:r w:rsidRPr="00DD66E5">
        <w:rPr>
          <w:lang w:val="ru-RU" w:eastAsia="ru-RU"/>
        </w:rPr>
        <w:t>Крентовської</w:t>
      </w:r>
      <w:proofErr w:type="spellEnd"/>
      <w:r w:rsidRPr="00DD66E5">
        <w:rPr>
          <w:lang w:val="ru-RU" w:eastAsia="ru-RU"/>
        </w:rPr>
        <w:t xml:space="preserve">, О. </w:t>
      </w:r>
      <w:proofErr w:type="spellStart"/>
      <w:r w:rsidRPr="00DD66E5">
        <w:rPr>
          <w:lang w:val="ru-RU" w:eastAsia="ru-RU"/>
        </w:rPr>
        <w:t>Макарової</w:t>
      </w:r>
      <w:proofErr w:type="spellEnd"/>
      <w:r w:rsidRPr="00DD66E5">
        <w:rPr>
          <w:lang w:val="ru-RU" w:eastAsia="ru-RU"/>
        </w:rPr>
        <w:t>, В.</w:t>
      </w:r>
      <w:r w:rsidR="00955A0F" w:rsidRPr="00DD66E5">
        <w:rPr>
          <w:lang w:val="ru-RU" w:eastAsia="ru-RU"/>
        </w:rPr>
        <w:t> </w:t>
      </w:r>
      <w:proofErr w:type="spellStart"/>
      <w:r w:rsidRPr="00DD66E5">
        <w:rPr>
          <w:lang w:val="ru-RU" w:eastAsia="ru-RU"/>
        </w:rPr>
        <w:t>Новікова</w:t>
      </w:r>
      <w:proofErr w:type="spellEnd"/>
      <w:r w:rsidRPr="00DD66E5">
        <w:rPr>
          <w:lang w:val="ru-RU" w:eastAsia="ru-RU"/>
        </w:rPr>
        <w:t xml:space="preserve">, О. </w:t>
      </w:r>
      <w:proofErr w:type="spellStart"/>
      <w:r w:rsidRPr="00DD66E5">
        <w:rPr>
          <w:lang w:val="ru-RU" w:eastAsia="ru-RU"/>
        </w:rPr>
        <w:t>Новікової</w:t>
      </w:r>
      <w:proofErr w:type="spellEnd"/>
      <w:r w:rsidRPr="00DD66E5">
        <w:rPr>
          <w:lang w:val="ru-RU" w:eastAsia="ru-RU"/>
        </w:rPr>
        <w:t xml:space="preserve">, Е. </w:t>
      </w:r>
      <w:proofErr w:type="spellStart"/>
      <w:r w:rsidRPr="00DD66E5">
        <w:rPr>
          <w:lang w:val="ru-RU" w:eastAsia="ru-RU"/>
        </w:rPr>
        <w:t>Лібанової</w:t>
      </w:r>
      <w:proofErr w:type="spellEnd"/>
      <w:r w:rsidRPr="00DD66E5">
        <w:rPr>
          <w:lang w:val="ru-RU" w:eastAsia="ru-RU"/>
        </w:rPr>
        <w:t xml:space="preserve">, У. </w:t>
      </w:r>
      <w:proofErr w:type="spellStart"/>
      <w:r w:rsidRPr="00DD66E5">
        <w:rPr>
          <w:lang w:val="ru-RU" w:eastAsia="ru-RU"/>
        </w:rPr>
        <w:t>Садової</w:t>
      </w:r>
      <w:proofErr w:type="spellEnd"/>
      <w:r w:rsidRPr="00DD66E5">
        <w:rPr>
          <w:lang w:val="ru-RU" w:eastAsia="ru-RU"/>
        </w:rPr>
        <w:t xml:space="preserve">, В. </w:t>
      </w:r>
      <w:proofErr w:type="spellStart"/>
      <w:r w:rsidRPr="00DD66E5">
        <w:rPr>
          <w:lang w:val="ru-RU" w:eastAsia="ru-RU"/>
        </w:rPr>
        <w:t>Скуратівського</w:t>
      </w:r>
      <w:proofErr w:type="spellEnd"/>
      <w:r w:rsidRPr="00DD66E5">
        <w:rPr>
          <w:lang w:val="ru-RU" w:eastAsia="ru-RU"/>
        </w:rPr>
        <w:t xml:space="preserve"> та </w:t>
      </w:r>
      <w:proofErr w:type="spellStart"/>
      <w:r w:rsidRPr="00DD66E5">
        <w:rPr>
          <w:lang w:val="ru-RU" w:eastAsia="ru-RU"/>
        </w:rPr>
        <w:t>інших</w:t>
      </w:r>
      <w:proofErr w:type="spellEnd"/>
      <w:r w:rsidRPr="00DD66E5">
        <w:rPr>
          <w:lang w:val="ru-RU" w:eastAsia="ru-RU"/>
        </w:rPr>
        <w:t xml:space="preserve">. </w:t>
      </w:r>
      <w:r w:rsidR="000B3C42" w:rsidRPr="00DD66E5">
        <w:rPr>
          <w:lang w:val="ru-RU" w:eastAsia="ru-RU"/>
        </w:rPr>
        <w:t xml:space="preserve">В </w:t>
      </w:r>
      <w:proofErr w:type="spellStart"/>
      <w:r w:rsidR="000B3C42" w:rsidRPr="00DD66E5">
        <w:rPr>
          <w:lang w:val="ru-RU" w:eastAsia="ru-RU"/>
        </w:rPr>
        <w:t>цих</w:t>
      </w:r>
      <w:proofErr w:type="spellEnd"/>
      <w:r w:rsidR="000B3C42" w:rsidRPr="00DD66E5">
        <w:rPr>
          <w:lang w:val="ru-RU" w:eastAsia="ru-RU"/>
        </w:rPr>
        <w:t xml:space="preserve"> </w:t>
      </w:r>
      <w:proofErr w:type="spellStart"/>
      <w:r w:rsidR="000B3C42" w:rsidRPr="00DD66E5">
        <w:rPr>
          <w:lang w:val="ru-RU" w:eastAsia="ru-RU"/>
        </w:rPr>
        <w:t>працях</w:t>
      </w:r>
      <w:proofErr w:type="spellEnd"/>
      <w:r w:rsidR="000B3C42" w:rsidRPr="00DD66E5">
        <w:rPr>
          <w:lang w:val="ru-RU" w:eastAsia="ru-RU"/>
        </w:rPr>
        <w:t xml:space="preserve"> </w:t>
      </w:r>
      <w:proofErr w:type="spellStart"/>
      <w:r w:rsidR="000B3C42" w:rsidRPr="00DD66E5">
        <w:rPr>
          <w:lang w:val="ru-RU" w:eastAsia="ru-RU"/>
        </w:rPr>
        <w:t>опубліковано</w:t>
      </w:r>
      <w:proofErr w:type="spellEnd"/>
      <w:r w:rsidR="000B3C42" w:rsidRPr="00DD66E5">
        <w:rPr>
          <w:lang w:val="ru-RU" w:eastAsia="ru-RU"/>
        </w:rPr>
        <w:t xml:space="preserve"> </w:t>
      </w:r>
      <w:proofErr w:type="spellStart"/>
      <w:r w:rsidR="000B3C42" w:rsidRPr="00DD66E5">
        <w:rPr>
          <w:lang w:val="ru-RU" w:eastAsia="ru-RU"/>
        </w:rPr>
        <w:t>результати</w:t>
      </w:r>
      <w:proofErr w:type="spellEnd"/>
      <w:r w:rsidR="000B3C42" w:rsidRPr="00DD66E5">
        <w:rPr>
          <w:lang w:val="ru-RU" w:eastAsia="ru-RU"/>
        </w:rPr>
        <w:t xml:space="preserve"> </w:t>
      </w:r>
      <w:proofErr w:type="spellStart"/>
      <w:r w:rsidR="000B3C42" w:rsidRPr="00DD66E5">
        <w:rPr>
          <w:lang w:val="ru-RU" w:eastAsia="ru-RU"/>
        </w:rPr>
        <w:t>досліджень</w:t>
      </w:r>
      <w:proofErr w:type="spellEnd"/>
      <w:r w:rsidR="000B3C42" w:rsidRPr="00DD66E5">
        <w:rPr>
          <w:lang w:val="ru-RU" w:eastAsia="ru-RU"/>
        </w:rPr>
        <w:t xml:space="preserve"> </w:t>
      </w:r>
      <w:proofErr w:type="spellStart"/>
      <w:r w:rsidR="000B3C42" w:rsidRPr="00DD66E5">
        <w:rPr>
          <w:lang w:val="ru-RU" w:eastAsia="ru-RU"/>
        </w:rPr>
        <w:t>щодо</w:t>
      </w:r>
      <w:proofErr w:type="spellEnd"/>
      <w:r w:rsidR="000B3C42" w:rsidRPr="00DD66E5">
        <w:rPr>
          <w:lang w:val="ru-RU" w:eastAsia="ru-RU"/>
        </w:rPr>
        <w:t xml:space="preserve"> проблем </w:t>
      </w:r>
      <w:proofErr w:type="spellStart"/>
      <w:r w:rsidR="000B3C42" w:rsidRPr="00DD66E5">
        <w:rPr>
          <w:lang w:val="ru-RU" w:eastAsia="ru-RU"/>
        </w:rPr>
        <w:t>трансформації</w:t>
      </w:r>
      <w:proofErr w:type="spellEnd"/>
      <w:r w:rsidR="000B3C42" w:rsidRPr="00DD66E5">
        <w:rPr>
          <w:lang w:val="ru-RU" w:eastAsia="ru-RU"/>
        </w:rPr>
        <w:t xml:space="preserve"> </w:t>
      </w:r>
      <w:proofErr w:type="spellStart"/>
      <w:r w:rsidR="000B3C42" w:rsidRPr="00DD66E5">
        <w:rPr>
          <w:lang w:val="ru-RU" w:eastAsia="ru-RU"/>
        </w:rPr>
        <w:t>соціальної</w:t>
      </w:r>
      <w:proofErr w:type="spellEnd"/>
      <w:r w:rsidR="000B3C42" w:rsidRPr="00DD66E5">
        <w:rPr>
          <w:lang w:val="ru-RU" w:eastAsia="ru-RU"/>
        </w:rPr>
        <w:t xml:space="preserve"> </w:t>
      </w:r>
      <w:proofErr w:type="spellStart"/>
      <w:r w:rsidR="000B3C42" w:rsidRPr="00DD66E5">
        <w:rPr>
          <w:lang w:val="ru-RU" w:eastAsia="ru-RU"/>
        </w:rPr>
        <w:t>політики</w:t>
      </w:r>
      <w:proofErr w:type="spellEnd"/>
      <w:r w:rsidR="000B3C42" w:rsidRPr="00DD66E5">
        <w:rPr>
          <w:lang w:val="ru-RU" w:eastAsia="ru-RU"/>
        </w:rPr>
        <w:t xml:space="preserve">, </w:t>
      </w:r>
      <w:proofErr w:type="spellStart"/>
      <w:r w:rsidR="000B3C42" w:rsidRPr="00DD66E5">
        <w:rPr>
          <w:lang w:val="ru-RU" w:eastAsia="ru-RU"/>
        </w:rPr>
        <w:t>її</w:t>
      </w:r>
      <w:proofErr w:type="spellEnd"/>
      <w:r w:rsidR="000B3C42" w:rsidRPr="00DD66E5">
        <w:rPr>
          <w:lang w:val="ru-RU" w:eastAsia="ru-RU"/>
        </w:rPr>
        <w:t xml:space="preserve"> теоретико-</w:t>
      </w:r>
      <w:proofErr w:type="spellStart"/>
      <w:r w:rsidR="000B3C42" w:rsidRPr="00DD66E5">
        <w:rPr>
          <w:lang w:val="ru-RU" w:eastAsia="ru-RU"/>
        </w:rPr>
        <w:t>методологічних</w:t>
      </w:r>
      <w:proofErr w:type="spellEnd"/>
      <w:r w:rsidR="000B3C42" w:rsidRPr="00DD66E5">
        <w:rPr>
          <w:lang w:val="ru-RU" w:eastAsia="ru-RU"/>
        </w:rPr>
        <w:t xml:space="preserve"> засад</w:t>
      </w:r>
      <w:r w:rsidR="000D29EC" w:rsidRPr="00DD66E5">
        <w:rPr>
          <w:lang w:val="ru-RU" w:eastAsia="ru-RU"/>
        </w:rPr>
        <w:t>;</w:t>
      </w:r>
      <w:r w:rsidR="000B3C42" w:rsidRPr="00DD66E5">
        <w:rPr>
          <w:lang w:val="ru-RU" w:eastAsia="ru-RU"/>
        </w:rPr>
        <w:t xml:space="preserve"> </w:t>
      </w:r>
      <w:proofErr w:type="spellStart"/>
      <w:r w:rsidR="000D29EC" w:rsidRPr="00DD66E5">
        <w:rPr>
          <w:lang w:val="ru-RU" w:eastAsia="ru-RU"/>
        </w:rPr>
        <w:t>функціонування</w:t>
      </w:r>
      <w:proofErr w:type="spellEnd"/>
      <w:r w:rsidR="000D29EC" w:rsidRPr="00DD66E5">
        <w:rPr>
          <w:lang w:val="ru-RU" w:eastAsia="ru-RU"/>
        </w:rPr>
        <w:t xml:space="preserve"> і </w:t>
      </w:r>
      <w:proofErr w:type="spellStart"/>
      <w:r w:rsidR="000D29EC" w:rsidRPr="00DD66E5">
        <w:rPr>
          <w:lang w:val="ru-RU" w:eastAsia="ru-RU"/>
        </w:rPr>
        <w:t>розвитку</w:t>
      </w:r>
      <w:proofErr w:type="spellEnd"/>
      <w:r w:rsidR="000D29EC" w:rsidRPr="00DD66E5">
        <w:rPr>
          <w:lang w:val="ru-RU" w:eastAsia="ru-RU"/>
        </w:rPr>
        <w:t xml:space="preserve"> </w:t>
      </w:r>
      <w:proofErr w:type="spellStart"/>
      <w:r w:rsidR="000D29EC" w:rsidRPr="00DD66E5">
        <w:rPr>
          <w:lang w:val="ru-RU" w:eastAsia="ru-RU"/>
        </w:rPr>
        <w:t>соціально-культурної</w:t>
      </w:r>
      <w:proofErr w:type="spellEnd"/>
      <w:r w:rsidR="000D29EC" w:rsidRPr="00DD66E5">
        <w:rPr>
          <w:lang w:val="ru-RU" w:eastAsia="ru-RU"/>
        </w:rPr>
        <w:t xml:space="preserve"> </w:t>
      </w:r>
      <w:proofErr w:type="spellStart"/>
      <w:r w:rsidR="000D29EC" w:rsidRPr="00DD66E5">
        <w:rPr>
          <w:lang w:val="ru-RU" w:eastAsia="ru-RU"/>
        </w:rPr>
        <w:t>сфери</w:t>
      </w:r>
      <w:proofErr w:type="spellEnd"/>
      <w:r w:rsidR="000D29EC" w:rsidRPr="00DD66E5">
        <w:rPr>
          <w:lang w:val="ru-RU" w:eastAsia="ru-RU"/>
        </w:rPr>
        <w:t xml:space="preserve">, </w:t>
      </w:r>
      <w:r w:rsidR="000B3C42" w:rsidRPr="00DD66E5">
        <w:rPr>
          <w:lang w:val="ru-RU" w:eastAsia="ru-RU"/>
        </w:rPr>
        <w:t xml:space="preserve">ринку </w:t>
      </w:r>
      <w:proofErr w:type="spellStart"/>
      <w:r w:rsidR="000B3C42" w:rsidRPr="00DD66E5">
        <w:rPr>
          <w:lang w:val="ru-RU" w:eastAsia="ru-RU"/>
        </w:rPr>
        <w:t>праці</w:t>
      </w:r>
      <w:proofErr w:type="spellEnd"/>
      <w:r w:rsidR="000D29EC" w:rsidRPr="00DD66E5">
        <w:rPr>
          <w:lang w:val="ru-RU" w:eastAsia="ru-RU"/>
        </w:rPr>
        <w:t xml:space="preserve">; </w:t>
      </w:r>
      <w:proofErr w:type="spellStart"/>
      <w:r w:rsidR="000D29EC" w:rsidRPr="00DD66E5">
        <w:rPr>
          <w:lang w:val="ru-RU" w:eastAsia="ru-RU"/>
        </w:rPr>
        <w:t>соціально-трудових</w:t>
      </w:r>
      <w:proofErr w:type="spellEnd"/>
      <w:r w:rsidR="000D29EC" w:rsidRPr="00DD66E5">
        <w:rPr>
          <w:lang w:val="ru-RU" w:eastAsia="ru-RU"/>
        </w:rPr>
        <w:t xml:space="preserve"> </w:t>
      </w:r>
      <w:proofErr w:type="spellStart"/>
      <w:r w:rsidR="000D29EC" w:rsidRPr="00DD66E5">
        <w:rPr>
          <w:lang w:val="ru-RU" w:eastAsia="ru-RU"/>
        </w:rPr>
        <w:t>відносин</w:t>
      </w:r>
      <w:proofErr w:type="spellEnd"/>
      <w:r w:rsidR="000D29EC" w:rsidRPr="00DD66E5">
        <w:rPr>
          <w:lang w:val="ru-RU" w:eastAsia="ru-RU"/>
        </w:rPr>
        <w:t xml:space="preserve">, </w:t>
      </w:r>
      <w:r w:rsidR="000B3C42" w:rsidRPr="00DD66E5">
        <w:rPr>
          <w:lang w:val="ru-RU" w:eastAsia="ru-RU"/>
        </w:rPr>
        <w:t xml:space="preserve">проблем </w:t>
      </w:r>
      <w:proofErr w:type="spellStart"/>
      <w:r w:rsidR="000B3C42" w:rsidRPr="00DD66E5">
        <w:rPr>
          <w:lang w:val="ru-RU" w:eastAsia="ru-RU"/>
        </w:rPr>
        <w:t>людського</w:t>
      </w:r>
      <w:proofErr w:type="spellEnd"/>
      <w:r w:rsidR="000B3C42" w:rsidRPr="00DD66E5">
        <w:rPr>
          <w:lang w:val="ru-RU" w:eastAsia="ru-RU"/>
        </w:rPr>
        <w:t xml:space="preserve"> </w:t>
      </w:r>
      <w:proofErr w:type="spellStart"/>
      <w:r w:rsidR="000B3C42" w:rsidRPr="00DD66E5">
        <w:rPr>
          <w:lang w:val="ru-RU" w:eastAsia="ru-RU"/>
        </w:rPr>
        <w:t>розвитку</w:t>
      </w:r>
      <w:proofErr w:type="spellEnd"/>
      <w:r w:rsidR="000B3C42" w:rsidRPr="00DD66E5">
        <w:rPr>
          <w:lang w:val="ru-RU" w:eastAsia="ru-RU"/>
        </w:rPr>
        <w:t xml:space="preserve">, </w:t>
      </w:r>
      <w:proofErr w:type="spellStart"/>
      <w:r w:rsidR="000D29EC" w:rsidRPr="00DD66E5">
        <w:rPr>
          <w:lang w:val="ru-RU" w:eastAsia="ru-RU"/>
        </w:rPr>
        <w:t>бідності</w:t>
      </w:r>
      <w:proofErr w:type="spellEnd"/>
      <w:r w:rsidR="000D29EC" w:rsidRPr="00DD66E5">
        <w:rPr>
          <w:lang w:val="ru-RU" w:eastAsia="ru-RU"/>
        </w:rPr>
        <w:t xml:space="preserve"> та </w:t>
      </w:r>
      <w:proofErr w:type="spellStart"/>
      <w:r w:rsidR="000D29EC" w:rsidRPr="00DD66E5">
        <w:rPr>
          <w:lang w:val="ru-RU" w:eastAsia="ru-RU"/>
        </w:rPr>
        <w:t>нерівності</w:t>
      </w:r>
      <w:proofErr w:type="spellEnd"/>
      <w:r w:rsidR="000D29EC" w:rsidRPr="00DD66E5">
        <w:rPr>
          <w:lang w:val="ru-RU" w:eastAsia="ru-RU"/>
        </w:rPr>
        <w:t xml:space="preserve"> </w:t>
      </w:r>
      <w:proofErr w:type="spellStart"/>
      <w:r w:rsidR="000D29EC" w:rsidRPr="00DD66E5">
        <w:rPr>
          <w:lang w:val="ru-RU" w:eastAsia="ru-RU"/>
        </w:rPr>
        <w:t>тощо</w:t>
      </w:r>
      <w:proofErr w:type="spellEnd"/>
      <w:r w:rsidR="000D29EC" w:rsidRPr="00DD66E5">
        <w:rPr>
          <w:lang w:val="ru-RU" w:eastAsia="ru-RU"/>
        </w:rPr>
        <w:t xml:space="preserve">. </w:t>
      </w:r>
      <w:proofErr w:type="spellStart"/>
      <w:r w:rsidR="000D29EC" w:rsidRPr="00DD66E5">
        <w:rPr>
          <w:lang w:val="ru-RU" w:eastAsia="ru-RU"/>
        </w:rPr>
        <w:t>Проте</w:t>
      </w:r>
      <w:proofErr w:type="spellEnd"/>
      <w:r w:rsidR="000D29EC" w:rsidRPr="00DD66E5">
        <w:rPr>
          <w:lang w:val="ru-RU" w:eastAsia="ru-RU"/>
        </w:rPr>
        <w:t xml:space="preserve">, </w:t>
      </w:r>
      <w:proofErr w:type="spellStart"/>
      <w:r w:rsidR="000D29EC" w:rsidRPr="00DD66E5">
        <w:rPr>
          <w:lang w:val="ru-RU" w:eastAsia="ru-RU"/>
        </w:rPr>
        <w:t>незважаючи</w:t>
      </w:r>
      <w:proofErr w:type="spellEnd"/>
      <w:r w:rsidR="000D29EC" w:rsidRPr="00DD66E5">
        <w:rPr>
          <w:lang w:val="ru-RU" w:eastAsia="ru-RU"/>
        </w:rPr>
        <w:t xml:space="preserve"> на </w:t>
      </w:r>
      <w:proofErr w:type="spellStart"/>
      <w:r w:rsidR="000D29EC" w:rsidRPr="00DD66E5">
        <w:rPr>
          <w:lang w:val="ru-RU" w:eastAsia="ru-RU"/>
        </w:rPr>
        <w:t>інтенсифікацію</w:t>
      </w:r>
      <w:proofErr w:type="spellEnd"/>
      <w:r w:rsidR="000D29EC" w:rsidRPr="00DD66E5">
        <w:rPr>
          <w:lang w:val="ru-RU" w:eastAsia="ru-RU"/>
        </w:rPr>
        <w:t xml:space="preserve"> </w:t>
      </w:r>
      <w:proofErr w:type="spellStart"/>
      <w:r w:rsidR="000D29EC" w:rsidRPr="00DD66E5">
        <w:rPr>
          <w:lang w:val="ru-RU" w:eastAsia="ru-RU"/>
        </w:rPr>
        <w:t>досліджень</w:t>
      </w:r>
      <w:proofErr w:type="spellEnd"/>
      <w:r w:rsidR="000D29EC" w:rsidRPr="00DD66E5">
        <w:rPr>
          <w:lang w:val="ru-RU" w:eastAsia="ru-RU"/>
        </w:rPr>
        <w:t xml:space="preserve"> у </w:t>
      </w:r>
      <w:proofErr w:type="spellStart"/>
      <w:r w:rsidR="000D29EC" w:rsidRPr="00DD66E5">
        <w:rPr>
          <w:lang w:val="ru-RU" w:eastAsia="ru-RU"/>
        </w:rPr>
        <w:t>вказаній</w:t>
      </w:r>
      <w:proofErr w:type="spellEnd"/>
      <w:r w:rsidR="000D29EC" w:rsidRPr="00DD66E5">
        <w:rPr>
          <w:lang w:val="ru-RU" w:eastAsia="ru-RU"/>
        </w:rPr>
        <w:t xml:space="preserve"> </w:t>
      </w:r>
      <w:proofErr w:type="spellStart"/>
      <w:r w:rsidR="000D29EC" w:rsidRPr="00DD66E5">
        <w:rPr>
          <w:lang w:val="ru-RU" w:eastAsia="ru-RU"/>
        </w:rPr>
        <w:t>сфері</w:t>
      </w:r>
      <w:proofErr w:type="spellEnd"/>
      <w:r w:rsidR="000D29EC" w:rsidRPr="00DD66E5">
        <w:rPr>
          <w:lang w:val="ru-RU" w:eastAsia="ru-RU"/>
        </w:rPr>
        <w:t xml:space="preserve"> та </w:t>
      </w:r>
      <w:proofErr w:type="spellStart"/>
      <w:r w:rsidR="000D29EC" w:rsidRPr="00DD66E5">
        <w:rPr>
          <w:lang w:val="ru-RU" w:eastAsia="ru-RU"/>
        </w:rPr>
        <w:t>враховуючи</w:t>
      </w:r>
      <w:proofErr w:type="spellEnd"/>
      <w:r w:rsidR="000D29EC" w:rsidRPr="00DD66E5">
        <w:rPr>
          <w:lang w:val="ru-RU" w:eastAsia="ru-RU"/>
        </w:rPr>
        <w:t xml:space="preserve"> </w:t>
      </w:r>
      <w:proofErr w:type="spellStart"/>
      <w:r w:rsidR="000D29EC" w:rsidRPr="00DD66E5">
        <w:rPr>
          <w:lang w:val="ru-RU" w:eastAsia="ru-RU"/>
        </w:rPr>
        <w:t>швидкі</w:t>
      </w:r>
      <w:proofErr w:type="spellEnd"/>
      <w:r w:rsidR="000D29EC" w:rsidRPr="00DD66E5">
        <w:rPr>
          <w:lang w:val="ru-RU" w:eastAsia="ru-RU"/>
        </w:rPr>
        <w:t xml:space="preserve"> </w:t>
      </w:r>
      <w:proofErr w:type="spellStart"/>
      <w:r w:rsidR="000D29EC" w:rsidRPr="00DD66E5">
        <w:rPr>
          <w:lang w:val="ru-RU" w:eastAsia="ru-RU"/>
        </w:rPr>
        <w:t>зміни</w:t>
      </w:r>
      <w:proofErr w:type="spellEnd"/>
      <w:r w:rsidR="000D29EC" w:rsidRPr="00DD66E5">
        <w:rPr>
          <w:lang w:val="ru-RU" w:eastAsia="ru-RU"/>
        </w:rPr>
        <w:t xml:space="preserve">, </w:t>
      </w:r>
      <w:proofErr w:type="spellStart"/>
      <w:r w:rsidR="000D29EC" w:rsidRPr="00DD66E5">
        <w:rPr>
          <w:lang w:val="ru-RU" w:eastAsia="ru-RU"/>
        </w:rPr>
        <w:t>які</w:t>
      </w:r>
      <w:proofErr w:type="spellEnd"/>
      <w:r w:rsidR="000D29EC" w:rsidRPr="00DD66E5">
        <w:rPr>
          <w:lang w:val="ru-RU" w:eastAsia="ru-RU"/>
        </w:rPr>
        <w:t xml:space="preserve"> </w:t>
      </w:r>
      <w:proofErr w:type="spellStart"/>
      <w:r w:rsidR="000D29EC" w:rsidRPr="00DD66E5">
        <w:rPr>
          <w:lang w:val="ru-RU" w:eastAsia="ru-RU"/>
        </w:rPr>
        <w:t>переживає</w:t>
      </w:r>
      <w:proofErr w:type="spellEnd"/>
      <w:r w:rsidR="000D29EC" w:rsidRPr="00DD66E5">
        <w:rPr>
          <w:lang w:val="ru-RU" w:eastAsia="ru-RU"/>
        </w:rPr>
        <w:t xml:space="preserve"> </w:t>
      </w:r>
      <w:proofErr w:type="spellStart"/>
      <w:r w:rsidR="000D29EC" w:rsidRPr="00DD66E5">
        <w:rPr>
          <w:lang w:val="ru-RU" w:eastAsia="ru-RU"/>
        </w:rPr>
        <w:t>українське</w:t>
      </w:r>
      <w:proofErr w:type="spellEnd"/>
      <w:r w:rsidR="000D29EC" w:rsidRPr="00DD66E5">
        <w:rPr>
          <w:lang w:val="ru-RU" w:eastAsia="ru-RU"/>
        </w:rPr>
        <w:t xml:space="preserve"> </w:t>
      </w:r>
      <w:proofErr w:type="spellStart"/>
      <w:r w:rsidR="000D29EC" w:rsidRPr="00DD66E5">
        <w:rPr>
          <w:lang w:val="ru-RU" w:eastAsia="ru-RU"/>
        </w:rPr>
        <w:t>суспільство</w:t>
      </w:r>
      <w:proofErr w:type="spellEnd"/>
      <w:r w:rsidR="000D29EC" w:rsidRPr="00DD66E5">
        <w:rPr>
          <w:lang w:val="ru-RU" w:eastAsia="ru-RU"/>
        </w:rPr>
        <w:t xml:space="preserve">, </w:t>
      </w:r>
      <w:proofErr w:type="spellStart"/>
      <w:r w:rsidR="000D29EC" w:rsidRPr="00DD66E5">
        <w:rPr>
          <w:lang w:val="ru-RU" w:eastAsia="ru-RU"/>
        </w:rPr>
        <w:t>важливість</w:t>
      </w:r>
      <w:proofErr w:type="spellEnd"/>
      <w:r w:rsidR="000D29EC" w:rsidRPr="00DD66E5">
        <w:rPr>
          <w:lang w:val="ru-RU" w:eastAsia="ru-RU"/>
        </w:rPr>
        <w:t xml:space="preserve"> </w:t>
      </w:r>
      <w:proofErr w:type="spellStart"/>
      <w:r w:rsidR="000D29EC" w:rsidRPr="00DD66E5">
        <w:rPr>
          <w:lang w:val="ru-RU" w:eastAsia="ru-RU"/>
        </w:rPr>
        <w:t>означеної</w:t>
      </w:r>
      <w:proofErr w:type="spellEnd"/>
      <w:r w:rsidR="000D29EC" w:rsidRPr="00DD66E5">
        <w:rPr>
          <w:lang w:val="ru-RU" w:eastAsia="ru-RU"/>
        </w:rPr>
        <w:t xml:space="preserve"> проблематики на кожному </w:t>
      </w:r>
      <w:proofErr w:type="spellStart"/>
      <w:r w:rsidR="000D29EC" w:rsidRPr="00DD66E5">
        <w:rPr>
          <w:lang w:val="ru-RU" w:eastAsia="ru-RU"/>
        </w:rPr>
        <w:t>етапі</w:t>
      </w:r>
      <w:proofErr w:type="spellEnd"/>
      <w:r w:rsidR="000D29EC" w:rsidRPr="00DD66E5">
        <w:rPr>
          <w:lang w:val="ru-RU" w:eastAsia="ru-RU"/>
        </w:rPr>
        <w:t xml:space="preserve"> </w:t>
      </w:r>
      <w:proofErr w:type="spellStart"/>
      <w:r w:rsidR="000D29EC" w:rsidRPr="00DD66E5">
        <w:rPr>
          <w:lang w:val="ru-RU" w:eastAsia="ru-RU"/>
        </w:rPr>
        <w:t>розвитку</w:t>
      </w:r>
      <w:proofErr w:type="spellEnd"/>
      <w:r w:rsidR="000D29EC" w:rsidRPr="00DD66E5">
        <w:rPr>
          <w:lang w:val="ru-RU" w:eastAsia="ru-RU"/>
        </w:rPr>
        <w:t xml:space="preserve"> </w:t>
      </w:r>
      <w:proofErr w:type="spellStart"/>
      <w:r w:rsidR="000D29EC" w:rsidRPr="00DD66E5">
        <w:rPr>
          <w:lang w:val="ru-RU" w:eastAsia="ru-RU"/>
        </w:rPr>
        <w:t>держави</w:t>
      </w:r>
      <w:proofErr w:type="spellEnd"/>
      <w:r w:rsidR="00BE546D" w:rsidRPr="00DD66E5">
        <w:rPr>
          <w:lang w:val="ru-RU" w:eastAsia="ru-RU"/>
        </w:rPr>
        <w:t xml:space="preserve"> </w:t>
      </w:r>
      <w:r w:rsidR="008E00FC" w:rsidRPr="00DD66E5">
        <w:rPr>
          <w:lang w:val="ru-RU" w:eastAsia="ru-RU"/>
        </w:rPr>
        <w:t xml:space="preserve">є </w:t>
      </w:r>
      <w:proofErr w:type="spellStart"/>
      <w:r w:rsidR="008E00FC" w:rsidRPr="00DD66E5">
        <w:rPr>
          <w:lang w:val="ru-RU" w:eastAsia="ru-RU"/>
        </w:rPr>
        <w:t>беззаперечною</w:t>
      </w:r>
      <w:proofErr w:type="spellEnd"/>
      <w:r w:rsidR="008E00FC" w:rsidRPr="00DD66E5">
        <w:rPr>
          <w:lang w:val="ru-RU" w:eastAsia="ru-RU"/>
        </w:rPr>
        <w:t>.</w:t>
      </w:r>
    </w:p>
    <w:p w:rsidR="004D7110" w:rsidRPr="00DD66E5" w:rsidRDefault="00B34D7D" w:rsidP="00DD66E5">
      <w:pPr>
        <w:ind w:firstLine="720"/>
        <w:jc w:val="both"/>
      </w:pPr>
      <w:r w:rsidRPr="00DD66E5">
        <w:rPr>
          <w:b/>
        </w:rPr>
        <w:t>Мета статті</w:t>
      </w:r>
      <w:r w:rsidRPr="00DD66E5">
        <w:t xml:space="preserve"> </w:t>
      </w:r>
      <w:r w:rsidR="000D29EC" w:rsidRPr="00DD66E5">
        <w:t xml:space="preserve">здійснити </w:t>
      </w:r>
      <w:r w:rsidR="00C10D9A" w:rsidRPr="00DD66E5">
        <w:t>а</w:t>
      </w:r>
      <w:r w:rsidR="00BE546D" w:rsidRPr="00DD66E5">
        <w:t>н</w:t>
      </w:r>
      <w:r w:rsidR="00C10D9A" w:rsidRPr="00DD66E5">
        <w:t xml:space="preserve">аліз соціальної </w:t>
      </w:r>
      <w:r w:rsidR="008E00FC" w:rsidRPr="00DD66E5">
        <w:t>складової розвитку України</w:t>
      </w:r>
      <w:r w:rsidR="00C10D9A" w:rsidRPr="00DD66E5">
        <w:t xml:space="preserve"> з метою вияв</w:t>
      </w:r>
      <w:r w:rsidR="008E00FC" w:rsidRPr="00DD66E5">
        <w:t>л</w:t>
      </w:r>
      <w:r w:rsidR="00C10D9A" w:rsidRPr="00DD66E5">
        <w:t xml:space="preserve">ення </w:t>
      </w:r>
      <w:r w:rsidR="008E00FC" w:rsidRPr="00DD66E5">
        <w:t xml:space="preserve">найгостріших </w:t>
      </w:r>
      <w:r w:rsidR="00C10D9A" w:rsidRPr="00DD66E5">
        <w:t xml:space="preserve">проблем та визначити стратегічні орієнтири реалізації соціальної політики в Україні. </w:t>
      </w:r>
    </w:p>
    <w:p w:rsidR="008224DF" w:rsidRPr="00DD66E5" w:rsidRDefault="00C10D9A" w:rsidP="00DD66E5">
      <w:pPr>
        <w:ind w:firstLine="720"/>
        <w:jc w:val="both"/>
      </w:pPr>
      <w:r w:rsidRPr="00DD66E5">
        <w:rPr>
          <w:b/>
        </w:rPr>
        <w:t>Виклад основного матеріалу.</w:t>
      </w:r>
      <w:r w:rsidRPr="00DD66E5">
        <w:t xml:space="preserve"> </w:t>
      </w:r>
      <w:r w:rsidR="00455EFE" w:rsidRPr="00DD66E5">
        <w:t xml:space="preserve">Посилення уваги з боку органів державної влади </w:t>
      </w:r>
      <w:r w:rsidR="00D921CD" w:rsidRPr="00DD66E5">
        <w:t xml:space="preserve">до соціальних проблем відобразилось у прийнятті </w:t>
      </w:r>
      <w:r w:rsidR="00455EFE" w:rsidRPr="00DD66E5">
        <w:t>низки нормативно-правових актів</w:t>
      </w:r>
      <w:r w:rsidR="00D921CD" w:rsidRPr="00DD66E5">
        <w:t xml:space="preserve"> соціального спрямування, в незначному рості інвестицій у людський капітал, у частковому впровадженні адресних принципів підтримки різних соціальних груп тощо. Соціальні питання ключовими визнали практично всі політичні блоки та партії у своїх передвиборчих програмах. </w:t>
      </w:r>
      <w:r w:rsidR="00544B8A" w:rsidRPr="00DD66E5">
        <w:t xml:space="preserve">Однак, </w:t>
      </w:r>
      <w:r w:rsidR="00705B56" w:rsidRPr="00DD66E5">
        <w:t>ініційовані</w:t>
      </w:r>
      <w:r w:rsidR="00544B8A" w:rsidRPr="00DD66E5">
        <w:t xml:space="preserve"> виконавчою</w:t>
      </w:r>
      <w:r w:rsidR="00705B56" w:rsidRPr="00DD66E5">
        <w:t xml:space="preserve"> та законодавчою </w:t>
      </w:r>
      <w:r w:rsidR="00544B8A" w:rsidRPr="00DD66E5">
        <w:t>владою ре</w:t>
      </w:r>
      <w:r w:rsidR="00455EFE" w:rsidRPr="00DD66E5">
        <w:t xml:space="preserve">форми, які розпочалися в країні, на жаль, ще не призвели до поліпшення добробуту українського суспільства. </w:t>
      </w:r>
      <w:r w:rsidR="00544B8A" w:rsidRPr="00DD66E5">
        <w:t xml:space="preserve">Навпаки, </w:t>
      </w:r>
      <w:r w:rsidR="009B7AC8" w:rsidRPr="00DD66E5">
        <w:t xml:space="preserve">через високі темпи інфляції </w:t>
      </w:r>
      <w:r w:rsidR="00D966ED" w:rsidRPr="00DD66E5">
        <w:t>(</w:t>
      </w:r>
      <w:r w:rsidR="003B3FA6" w:rsidRPr="00DD66E5">
        <w:rPr>
          <w:i/>
        </w:rPr>
        <w:t>112,1</w:t>
      </w:r>
      <w:r w:rsidR="00D966ED" w:rsidRPr="00DD66E5">
        <w:rPr>
          <w:i/>
        </w:rPr>
        <w:t>% у 2014 р. та 14</w:t>
      </w:r>
      <w:r w:rsidR="003B3FA6" w:rsidRPr="00DD66E5">
        <w:rPr>
          <w:i/>
        </w:rPr>
        <w:t>8,7</w:t>
      </w:r>
      <w:r w:rsidR="00D966ED" w:rsidRPr="00DD66E5">
        <w:rPr>
          <w:i/>
        </w:rPr>
        <w:t>% у 2015 р</w:t>
      </w:r>
      <w:r w:rsidR="00D966ED" w:rsidRPr="00DD66E5">
        <w:t xml:space="preserve">.) </w:t>
      </w:r>
      <w:r w:rsidR="009B7AC8" w:rsidRPr="00DD66E5">
        <w:t>та заморожування до вересня 2015 р</w:t>
      </w:r>
      <w:r w:rsidR="002D1FC2" w:rsidRPr="00DD66E5">
        <w:t>.</w:t>
      </w:r>
      <w:r w:rsidR="009B7AC8" w:rsidRPr="00DD66E5">
        <w:t xml:space="preserve"> соціальних стандартів та гарантій </w:t>
      </w:r>
      <w:r w:rsidR="00A37C9F" w:rsidRPr="00DD66E5">
        <w:t>відбулося падіння реальної заробітної плати (</w:t>
      </w:r>
      <w:r w:rsidR="005637C8" w:rsidRPr="00DD66E5">
        <w:rPr>
          <w:i/>
        </w:rPr>
        <w:t xml:space="preserve">на </w:t>
      </w:r>
      <w:r w:rsidR="00264998" w:rsidRPr="00DD66E5">
        <w:rPr>
          <w:i/>
        </w:rPr>
        <w:t>6,5</w:t>
      </w:r>
      <w:r w:rsidR="00A37C9F" w:rsidRPr="00DD66E5">
        <w:rPr>
          <w:i/>
        </w:rPr>
        <w:t xml:space="preserve">% - у 2014 р., та </w:t>
      </w:r>
      <w:r w:rsidR="005637C8" w:rsidRPr="00DD66E5">
        <w:rPr>
          <w:i/>
        </w:rPr>
        <w:t xml:space="preserve">на </w:t>
      </w:r>
      <w:r w:rsidR="00264998" w:rsidRPr="00DD66E5">
        <w:rPr>
          <w:i/>
        </w:rPr>
        <w:t>20,2</w:t>
      </w:r>
      <w:r w:rsidR="00A37C9F" w:rsidRPr="00DD66E5">
        <w:rPr>
          <w:i/>
        </w:rPr>
        <w:t>% у 2015 р.</w:t>
      </w:r>
      <w:r w:rsidR="005637C8" w:rsidRPr="00DD66E5">
        <w:rPr>
          <w:i/>
        </w:rPr>
        <w:t xml:space="preserve"> у порівнянні з попереднім роком</w:t>
      </w:r>
      <w:r w:rsidR="00A37C9F" w:rsidRPr="00DD66E5">
        <w:t>)</w:t>
      </w:r>
      <w:r w:rsidR="00A25AD3" w:rsidRPr="00DD66E5">
        <w:t xml:space="preserve">, що суттєво знизило </w:t>
      </w:r>
      <w:r w:rsidR="00DE517B" w:rsidRPr="00DD66E5">
        <w:t xml:space="preserve">купівельну спроможність населення і, відповідно, </w:t>
      </w:r>
      <w:r w:rsidR="00A25AD3" w:rsidRPr="00DD66E5">
        <w:t xml:space="preserve">попит на внутрішньому ринку товарів і послуг. </w:t>
      </w:r>
    </w:p>
    <w:p w:rsidR="00955A0F" w:rsidRPr="00307BFD" w:rsidRDefault="00955A0F" w:rsidP="00DD66E5">
      <w:pPr>
        <w:ind w:firstLine="720"/>
        <w:jc w:val="both"/>
        <w:rPr>
          <w:lang w:val="ru-RU"/>
        </w:rPr>
      </w:pPr>
      <w:r w:rsidRPr="00DD66E5">
        <w:t xml:space="preserve">Не сприяє покращенню </w:t>
      </w:r>
      <w:r w:rsidRPr="00307BFD">
        <w:t xml:space="preserve">ситуації наявність заборгованості </w:t>
      </w:r>
      <w:r w:rsidR="00307BFD" w:rsidRPr="00307BFD">
        <w:t>з</w:t>
      </w:r>
      <w:commentRangeStart w:id="1"/>
      <w:r w:rsidRPr="00307BFD">
        <w:t xml:space="preserve"> заробітн</w:t>
      </w:r>
      <w:r w:rsidR="00307BFD" w:rsidRPr="00307BFD">
        <w:t>ої</w:t>
      </w:r>
      <w:r w:rsidRPr="00307BFD">
        <w:t xml:space="preserve"> платі</w:t>
      </w:r>
      <w:commentRangeEnd w:id="1"/>
      <w:r w:rsidR="00BF77F4" w:rsidRPr="00307BFD">
        <w:rPr>
          <w:rStyle w:val="ac"/>
        </w:rPr>
        <w:commentReference w:id="1"/>
      </w:r>
      <w:r w:rsidRPr="00307BFD">
        <w:t>, загальний обсяг якої протягом 2015 р., за винятком грудня, мав тенденцію до збільшення. Станом на 1 квітня 2016 р. заборгованість  по заробітній платі становила 2013,4</w:t>
      </w:r>
      <w:r w:rsidRPr="00307BFD">
        <w:rPr>
          <w:rStyle w:val="a8"/>
        </w:rPr>
        <w:footnoteReference w:id="1"/>
      </w:r>
      <w:r w:rsidRPr="00307BFD">
        <w:t xml:space="preserve"> млн. грн., а станом на 1 серпня 2016 р – 2046,2 млн. грн.  </w:t>
      </w:r>
    </w:p>
    <w:p w:rsidR="009440BC" w:rsidRPr="00DD66E5" w:rsidRDefault="009440BC" w:rsidP="00DD66E5">
      <w:pPr>
        <w:ind w:firstLine="720"/>
        <w:jc w:val="both"/>
        <w:rPr>
          <w:lang w:val="ru-RU"/>
        </w:rPr>
      </w:pPr>
      <w:proofErr w:type="spellStart"/>
      <w:r w:rsidRPr="00307BFD">
        <w:rPr>
          <w:lang w:val="ru-RU"/>
        </w:rPr>
        <w:t>Зазначен</w:t>
      </w:r>
      <w:r w:rsidR="00307BFD" w:rsidRPr="00307BFD">
        <w:rPr>
          <w:lang w:val="ru-RU"/>
        </w:rPr>
        <w:t>і</w:t>
      </w:r>
      <w:proofErr w:type="spellEnd"/>
      <w:r w:rsidRPr="00307BFD">
        <w:rPr>
          <w:lang w:val="ru-RU"/>
        </w:rPr>
        <w:t xml:space="preserve"> </w:t>
      </w:r>
      <w:proofErr w:type="spellStart"/>
      <w:r w:rsidRPr="00307BFD">
        <w:rPr>
          <w:lang w:val="ru-RU"/>
        </w:rPr>
        <w:t>вище</w:t>
      </w:r>
      <w:proofErr w:type="spellEnd"/>
      <w:r w:rsidRPr="00307BFD">
        <w:rPr>
          <w:lang w:val="ru-RU"/>
        </w:rPr>
        <w:t xml:space="preserve"> </w:t>
      </w:r>
      <w:proofErr w:type="spellStart"/>
      <w:r w:rsidRPr="00307BFD">
        <w:rPr>
          <w:lang w:val="ru-RU"/>
        </w:rPr>
        <w:t>проблеми</w:t>
      </w:r>
      <w:proofErr w:type="spellEnd"/>
      <w:r w:rsidRPr="00307BFD">
        <w:rPr>
          <w:lang w:val="ru-RU"/>
        </w:rPr>
        <w:t xml:space="preserve"> </w:t>
      </w:r>
      <w:proofErr w:type="spellStart"/>
      <w:r w:rsidRPr="00307BFD">
        <w:rPr>
          <w:lang w:val="ru-RU"/>
        </w:rPr>
        <w:t>посилюються</w:t>
      </w:r>
      <w:proofErr w:type="spellEnd"/>
      <w:r w:rsidRPr="00307BFD">
        <w:rPr>
          <w:lang w:val="ru-RU"/>
        </w:rPr>
        <w:t xml:space="preserve"> через </w:t>
      </w:r>
      <w:proofErr w:type="spellStart"/>
      <w:r w:rsidRPr="00307BFD">
        <w:rPr>
          <w:lang w:val="ru-RU"/>
        </w:rPr>
        <w:t>напружену</w:t>
      </w:r>
      <w:proofErr w:type="spellEnd"/>
      <w:r w:rsidRPr="00307BFD">
        <w:rPr>
          <w:lang w:val="ru-RU"/>
        </w:rPr>
        <w:t xml:space="preserve"> </w:t>
      </w:r>
      <w:proofErr w:type="spellStart"/>
      <w:r w:rsidRPr="00307BFD">
        <w:rPr>
          <w:lang w:val="ru-RU"/>
        </w:rPr>
        <w:t>ситуацію</w:t>
      </w:r>
      <w:proofErr w:type="spellEnd"/>
      <w:r w:rsidRPr="00307BFD">
        <w:rPr>
          <w:lang w:val="ru-RU"/>
        </w:rPr>
        <w:t xml:space="preserve"> на ринку </w:t>
      </w:r>
      <w:proofErr w:type="spellStart"/>
      <w:r w:rsidRPr="00307BFD">
        <w:rPr>
          <w:lang w:val="ru-RU"/>
        </w:rPr>
        <w:t>праці</w:t>
      </w:r>
      <w:proofErr w:type="spellEnd"/>
      <w:r w:rsidRPr="00307BFD">
        <w:rPr>
          <w:lang w:val="ru-RU"/>
        </w:rPr>
        <w:t xml:space="preserve">. </w:t>
      </w:r>
      <w:proofErr w:type="spellStart"/>
      <w:r w:rsidRPr="00307BFD">
        <w:rPr>
          <w:lang w:val="ru-RU"/>
        </w:rPr>
        <w:t>Незважаючи</w:t>
      </w:r>
      <w:proofErr w:type="spellEnd"/>
      <w:r w:rsidRPr="00307BFD">
        <w:rPr>
          <w:lang w:val="ru-RU"/>
        </w:rPr>
        <w:t xml:space="preserve"> на </w:t>
      </w:r>
      <w:proofErr w:type="spellStart"/>
      <w:r w:rsidRPr="00307BFD">
        <w:rPr>
          <w:lang w:val="ru-RU"/>
        </w:rPr>
        <w:t>зниження</w:t>
      </w:r>
      <w:proofErr w:type="spellEnd"/>
      <w:r w:rsidRPr="00307BFD">
        <w:rPr>
          <w:lang w:val="ru-RU"/>
        </w:rPr>
        <w:t xml:space="preserve"> </w:t>
      </w:r>
      <w:proofErr w:type="spellStart"/>
      <w:r w:rsidRPr="00307BFD">
        <w:rPr>
          <w:lang w:val="ru-RU"/>
        </w:rPr>
        <w:t>рівня</w:t>
      </w:r>
      <w:proofErr w:type="spellEnd"/>
      <w:r w:rsidRPr="00307BFD">
        <w:rPr>
          <w:lang w:val="ru-RU"/>
        </w:rPr>
        <w:t xml:space="preserve"> </w:t>
      </w:r>
      <w:proofErr w:type="spellStart"/>
      <w:r w:rsidRPr="00307BFD">
        <w:rPr>
          <w:lang w:val="ru-RU"/>
        </w:rPr>
        <w:t>безробіття</w:t>
      </w:r>
      <w:proofErr w:type="spellEnd"/>
      <w:r w:rsidRPr="00307BFD">
        <w:rPr>
          <w:lang w:val="ru-RU"/>
        </w:rPr>
        <w:t xml:space="preserve"> </w:t>
      </w:r>
      <w:proofErr w:type="spellStart"/>
      <w:r w:rsidRPr="00307BFD">
        <w:rPr>
          <w:lang w:val="ru-RU"/>
        </w:rPr>
        <w:t>серед</w:t>
      </w:r>
      <w:proofErr w:type="spellEnd"/>
      <w:r w:rsidRPr="00307BFD">
        <w:rPr>
          <w:lang w:val="ru-RU"/>
        </w:rPr>
        <w:t xml:space="preserve"> </w:t>
      </w:r>
      <w:proofErr w:type="spellStart"/>
      <w:r w:rsidRPr="00307BFD">
        <w:rPr>
          <w:lang w:val="ru-RU"/>
        </w:rPr>
        <w:t>працездатного</w:t>
      </w:r>
      <w:proofErr w:type="spellEnd"/>
      <w:r w:rsidRPr="00307BFD">
        <w:rPr>
          <w:lang w:val="ru-RU"/>
        </w:rPr>
        <w:t xml:space="preserve"> </w:t>
      </w:r>
      <w:proofErr w:type="spellStart"/>
      <w:r w:rsidRPr="00307BFD">
        <w:rPr>
          <w:lang w:val="ru-RU"/>
        </w:rPr>
        <w:t>населення</w:t>
      </w:r>
      <w:proofErr w:type="spellEnd"/>
      <w:r w:rsidRPr="00307BFD">
        <w:rPr>
          <w:lang w:val="ru-RU"/>
        </w:rPr>
        <w:t xml:space="preserve"> (на 0,3 </w:t>
      </w:r>
      <w:proofErr w:type="spellStart"/>
      <w:r w:rsidRPr="00307BFD">
        <w:rPr>
          <w:lang w:val="ru-RU"/>
        </w:rPr>
        <w:t>в.п</w:t>
      </w:r>
      <w:proofErr w:type="spellEnd"/>
      <w:r w:rsidRPr="00307BFD">
        <w:rPr>
          <w:lang w:val="ru-RU"/>
        </w:rPr>
        <w:t xml:space="preserve">. у 2015 р. </w:t>
      </w:r>
      <w:proofErr w:type="spellStart"/>
      <w:r w:rsidRPr="00307BFD">
        <w:rPr>
          <w:lang w:val="ru-RU"/>
        </w:rPr>
        <w:t>порівняно</w:t>
      </w:r>
      <w:proofErr w:type="spellEnd"/>
      <w:r w:rsidRPr="00307BFD">
        <w:rPr>
          <w:lang w:val="ru-RU"/>
        </w:rPr>
        <w:t xml:space="preserve"> з 2014 р.), </w:t>
      </w:r>
      <w:proofErr w:type="spellStart"/>
      <w:r w:rsidRPr="00307BFD">
        <w:rPr>
          <w:lang w:val="ru-RU"/>
        </w:rPr>
        <w:t>значення</w:t>
      </w:r>
      <w:proofErr w:type="spellEnd"/>
      <w:r w:rsidRPr="00307BFD">
        <w:rPr>
          <w:lang w:val="ru-RU"/>
        </w:rPr>
        <w:t xml:space="preserve"> </w:t>
      </w:r>
      <w:proofErr w:type="spellStart"/>
      <w:r w:rsidRPr="00307BFD">
        <w:rPr>
          <w:lang w:val="ru-RU"/>
        </w:rPr>
        <w:t>цього</w:t>
      </w:r>
      <w:proofErr w:type="spellEnd"/>
      <w:r w:rsidRPr="00307BFD">
        <w:rPr>
          <w:lang w:val="ru-RU"/>
        </w:rPr>
        <w:t xml:space="preserve"> </w:t>
      </w:r>
      <w:proofErr w:type="spellStart"/>
      <w:r w:rsidRPr="00307BFD">
        <w:rPr>
          <w:lang w:val="ru-RU"/>
        </w:rPr>
        <w:t>показника</w:t>
      </w:r>
      <w:proofErr w:type="spellEnd"/>
      <w:r w:rsidRPr="00307BFD">
        <w:rPr>
          <w:lang w:val="ru-RU"/>
        </w:rPr>
        <w:t xml:space="preserve"> </w:t>
      </w:r>
      <w:r w:rsidR="00423453" w:rsidRPr="00307BFD">
        <w:rPr>
          <w:lang w:val="ru-RU"/>
        </w:rPr>
        <w:t xml:space="preserve">у 1 </w:t>
      </w:r>
      <w:proofErr w:type="spellStart"/>
      <w:r w:rsidR="00423453" w:rsidRPr="00307BFD">
        <w:rPr>
          <w:lang w:val="ru-RU"/>
        </w:rPr>
        <w:t>півріччі</w:t>
      </w:r>
      <w:proofErr w:type="spellEnd"/>
      <w:r w:rsidR="00423453" w:rsidRPr="00307BFD">
        <w:rPr>
          <w:lang w:val="ru-RU"/>
        </w:rPr>
        <w:t xml:space="preserve"> 2016 р. </w:t>
      </w:r>
      <w:proofErr w:type="spellStart"/>
      <w:r w:rsidR="00423453" w:rsidRPr="00307BFD">
        <w:rPr>
          <w:lang w:val="ru-RU"/>
        </w:rPr>
        <w:t>було</w:t>
      </w:r>
      <w:proofErr w:type="spellEnd"/>
      <w:r w:rsidR="00423453" w:rsidRPr="00307BFD">
        <w:rPr>
          <w:lang w:val="ru-RU"/>
        </w:rPr>
        <w:t xml:space="preserve"> </w:t>
      </w:r>
      <w:proofErr w:type="spellStart"/>
      <w:r w:rsidRPr="00307BFD">
        <w:rPr>
          <w:lang w:val="ru-RU"/>
        </w:rPr>
        <w:t>досить</w:t>
      </w:r>
      <w:proofErr w:type="spellEnd"/>
      <w:r w:rsidRPr="00307BFD">
        <w:rPr>
          <w:lang w:val="ru-RU"/>
        </w:rPr>
        <w:t xml:space="preserve"> </w:t>
      </w:r>
      <w:proofErr w:type="spellStart"/>
      <w:r w:rsidRPr="00DD66E5">
        <w:rPr>
          <w:lang w:val="ru-RU"/>
        </w:rPr>
        <w:t>високим</w:t>
      </w:r>
      <w:proofErr w:type="spellEnd"/>
      <w:r w:rsidRPr="00DD66E5">
        <w:rPr>
          <w:lang w:val="ru-RU"/>
        </w:rPr>
        <w:t xml:space="preserve"> – 9,4 %</w:t>
      </w:r>
      <w:r w:rsidR="00423453" w:rsidRPr="00DD66E5">
        <w:rPr>
          <w:lang w:val="ru-RU"/>
        </w:rPr>
        <w:t>. Н</w:t>
      </w:r>
      <w:r w:rsidRPr="00DD66E5">
        <w:rPr>
          <w:lang w:val="ru-RU"/>
        </w:rPr>
        <w:t xml:space="preserve">а 10 </w:t>
      </w:r>
      <w:proofErr w:type="spellStart"/>
      <w:r w:rsidRPr="00DD66E5">
        <w:rPr>
          <w:lang w:val="ru-RU"/>
        </w:rPr>
        <w:t>вільних</w:t>
      </w:r>
      <w:proofErr w:type="spellEnd"/>
      <w:r w:rsidRPr="00DD66E5">
        <w:rPr>
          <w:lang w:val="ru-RU"/>
        </w:rPr>
        <w:t xml:space="preserve"> </w:t>
      </w:r>
      <w:proofErr w:type="spellStart"/>
      <w:r w:rsidRPr="00DD66E5">
        <w:rPr>
          <w:lang w:val="ru-RU"/>
        </w:rPr>
        <w:t>робочих</w:t>
      </w:r>
      <w:proofErr w:type="spellEnd"/>
      <w:r w:rsidRPr="00DD66E5">
        <w:rPr>
          <w:lang w:val="ru-RU"/>
        </w:rPr>
        <w:t xml:space="preserve"> </w:t>
      </w:r>
      <w:proofErr w:type="spellStart"/>
      <w:r w:rsidRPr="00DD66E5">
        <w:rPr>
          <w:lang w:val="ru-RU"/>
        </w:rPr>
        <w:t>місць</w:t>
      </w:r>
      <w:proofErr w:type="spellEnd"/>
      <w:r w:rsidRPr="00DD66E5">
        <w:rPr>
          <w:lang w:val="ru-RU"/>
        </w:rPr>
        <w:t xml:space="preserve"> (</w:t>
      </w:r>
      <w:proofErr w:type="spellStart"/>
      <w:r w:rsidRPr="00DD66E5">
        <w:rPr>
          <w:lang w:val="ru-RU"/>
        </w:rPr>
        <w:t>вакантних</w:t>
      </w:r>
      <w:proofErr w:type="spellEnd"/>
      <w:r w:rsidRPr="00DD66E5">
        <w:rPr>
          <w:lang w:val="ru-RU"/>
        </w:rPr>
        <w:t xml:space="preserve"> посад) у 2015 р. </w:t>
      </w:r>
      <w:proofErr w:type="spellStart"/>
      <w:r w:rsidRPr="00DD66E5">
        <w:rPr>
          <w:lang w:val="ru-RU"/>
        </w:rPr>
        <w:t>претендували</w:t>
      </w:r>
      <w:proofErr w:type="spellEnd"/>
      <w:r w:rsidRPr="00DD66E5">
        <w:rPr>
          <w:lang w:val="ru-RU"/>
        </w:rPr>
        <w:t xml:space="preserve"> 128 </w:t>
      </w:r>
      <w:proofErr w:type="spellStart"/>
      <w:r w:rsidRPr="00DD66E5">
        <w:rPr>
          <w:lang w:val="ru-RU"/>
        </w:rPr>
        <w:t>зареєстрованих</w:t>
      </w:r>
      <w:proofErr w:type="spellEnd"/>
      <w:r w:rsidRPr="00DD66E5">
        <w:rPr>
          <w:lang w:val="ru-RU"/>
        </w:rPr>
        <w:t xml:space="preserve"> </w:t>
      </w:r>
      <w:proofErr w:type="spellStart"/>
      <w:r w:rsidRPr="00DD66E5">
        <w:rPr>
          <w:lang w:val="ru-RU"/>
        </w:rPr>
        <w:t>безробітних</w:t>
      </w:r>
      <w:proofErr w:type="spellEnd"/>
      <w:r w:rsidRPr="00DD66E5">
        <w:rPr>
          <w:lang w:val="ru-RU"/>
        </w:rPr>
        <w:t xml:space="preserve">, у </w:t>
      </w:r>
      <w:proofErr w:type="spellStart"/>
      <w:r w:rsidRPr="00DD66E5">
        <w:rPr>
          <w:lang w:val="ru-RU"/>
        </w:rPr>
        <w:t>січні</w:t>
      </w:r>
      <w:proofErr w:type="spellEnd"/>
      <w:r w:rsidRPr="00DD66E5">
        <w:rPr>
          <w:lang w:val="ru-RU"/>
        </w:rPr>
        <w:t xml:space="preserve"> 2016 р</w:t>
      </w:r>
      <w:r w:rsidR="00423453" w:rsidRPr="00DD66E5">
        <w:rPr>
          <w:lang w:val="ru-RU"/>
        </w:rPr>
        <w:t xml:space="preserve">. – 162, у </w:t>
      </w:r>
      <w:proofErr w:type="spellStart"/>
      <w:r w:rsidR="00423453" w:rsidRPr="00DD66E5">
        <w:rPr>
          <w:lang w:val="ru-RU"/>
        </w:rPr>
        <w:t>червні</w:t>
      </w:r>
      <w:proofErr w:type="spellEnd"/>
      <w:r w:rsidR="00423453" w:rsidRPr="00DD66E5">
        <w:rPr>
          <w:lang w:val="ru-RU"/>
        </w:rPr>
        <w:t xml:space="preserve"> 2016 р. – 100. </w:t>
      </w:r>
      <w:proofErr w:type="spellStart"/>
      <w:r w:rsidRPr="00DD66E5">
        <w:rPr>
          <w:lang w:val="ru-RU"/>
        </w:rPr>
        <w:t>Також</w:t>
      </w:r>
      <w:proofErr w:type="spellEnd"/>
      <w:r w:rsidRPr="00DD66E5">
        <w:rPr>
          <w:lang w:val="ru-RU"/>
        </w:rPr>
        <w:t xml:space="preserve"> </w:t>
      </w:r>
      <w:proofErr w:type="spellStart"/>
      <w:r w:rsidRPr="00DD66E5">
        <w:rPr>
          <w:lang w:val="ru-RU"/>
        </w:rPr>
        <w:t>відбулось</w:t>
      </w:r>
      <w:proofErr w:type="spellEnd"/>
      <w:r w:rsidRPr="00DD66E5">
        <w:rPr>
          <w:lang w:val="ru-RU"/>
        </w:rPr>
        <w:t xml:space="preserve"> </w:t>
      </w:r>
      <w:proofErr w:type="spellStart"/>
      <w:r w:rsidRPr="00DD66E5">
        <w:rPr>
          <w:lang w:val="ru-RU"/>
        </w:rPr>
        <w:t>збільшення</w:t>
      </w:r>
      <w:proofErr w:type="spellEnd"/>
      <w:r w:rsidRPr="00DD66E5">
        <w:rPr>
          <w:lang w:val="ru-RU"/>
        </w:rPr>
        <w:t xml:space="preserve"> </w:t>
      </w:r>
      <w:proofErr w:type="spellStart"/>
      <w:r w:rsidRPr="00DD66E5">
        <w:rPr>
          <w:lang w:val="ru-RU"/>
        </w:rPr>
        <w:t>масштабів</w:t>
      </w:r>
      <w:proofErr w:type="spellEnd"/>
      <w:r w:rsidRPr="00DD66E5">
        <w:rPr>
          <w:lang w:val="ru-RU"/>
        </w:rPr>
        <w:t xml:space="preserve"> </w:t>
      </w:r>
      <w:proofErr w:type="spellStart"/>
      <w:r w:rsidRPr="00DD66E5">
        <w:rPr>
          <w:lang w:val="ru-RU"/>
        </w:rPr>
        <w:t>вимушеної</w:t>
      </w:r>
      <w:proofErr w:type="spellEnd"/>
      <w:r w:rsidRPr="00DD66E5">
        <w:rPr>
          <w:lang w:val="ru-RU"/>
        </w:rPr>
        <w:t xml:space="preserve"> </w:t>
      </w:r>
      <w:proofErr w:type="spellStart"/>
      <w:r w:rsidRPr="00DD66E5">
        <w:rPr>
          <w:lang w:val="ru-RU"/>
        </w:rPr>
        <w:t>неповної</w:t>
      </w:r>
      <w:proofErr w:type="spellEnd"/>
      <w:r w:rsidRPr="00DD66E5">
        <w:rPr>
          <w:lang w:val="ru-RU"/>
        </w:rPr>
        <w:t xml:space="preserve"> </w:t>
      </w:r>
      <w:proofErr w:type="spellStart"/>
      <w:r w:rsidRPr="00DD66E5">
        <w:rPr>
          <w:lang w:val="ru-RU"/>
        </w:rPr>
        <w:t>зайнятості</w:t>
      </w:r>
      <w:proofErr w:type="spellEnd"/>
      <w:r w:rsidRPr="00DD66E5">
        <w:rPr>
          <w:lang w:val="ru-RU"/>
        </w:rPr>
        <w:t xml:space="preserve"> до 11 % (до 14 % у сферах </w:t>
      </w:r>
      <w:proofErr w:type="spellStart"/>
      <w:r w:rsidRPr="00DD66E5">
        <w:rPr>
          <w:lang w:val="ru-RU"/>
        </w:rPr>
        <w:t>професійної</w:t>
      </w:r>
      <w:proofErr w:type="spellEnd"/>
      <w:r w:rsidRPr="00DD66E5">
        <w:rPr>
          <w:lang w:val="ru-RU"/>
        </w:rPr>
        <w:t xml:space="preserve">, </w:t>
      </w:r>
      <w:proofErr w:type="spellStart"/>
      <w:r w:rsidRPr="00DD66E5">
        <w:rPr>
          <w:lang w:val="ru-RU"/>
        </w:rPr>
        <w:t>наукової</w:t>
      </w:r>
      <w:proofErr w:type="spellEnd"/>
      <w:r w:rsidRPr="00DD66E5">
        <w:rPr>
          <w:lang w:val="ru-RU"/>
        </w:rPr>
        <w:t xml:space="preserve"> та </w:t>
      </w:r>
      <w:proofErr w:type="spellStart"/>
      <w:r w:rsidRPr="00DD66E5">
        <w:rPr>
          <w:lang w:val="ru-RU"/>
        </w:rPr>
        <w:t>технічної</w:t>
      </w:r>
      <w:proofErr w:type="spellEnd"/>
      <w:r w:rsidRPr="00DD66E5">
        <w:rPr>
          <w:lang w:val="ru-RU"/>
        </w:rPr>
        <w:t xml:space="preserve"> </w:t>
      </w:r>
      <w:proofErr w:type="spellStart"/>
      <w:r w:rsidRPr="00DD66E5">
        <w:rPr>
          <w:lang w:val="ru-RU"/>
        </w:rPr>
        <w:t>діяльності</w:t>
      </w:r>
      <w:proofErr w:type="spellEnd"/>
      <w:r w:rsidRPr="00DD66E5">
        <w:rPr>
          <w:lang w:val="ru-RU"/>
        </w:rPr>
        <w:t xml:space="preserve">, 21 % у </w:t>
      </w:r>
      <w:proofErr w:type="spellStart"/>
      <w:r w:rsidRPr="00DD66E5">
        <w:rPr>
          <w:lang w:val="ru-RU"/>
        </w:rPr>
        <w:t>промисловості</w:t>
      </w:r>
      <w:proofErr w:type="spellEnd"/>
      <w:r w:rsidRPr="00DD66E5">
        <w:rPr>
          <w:lang w:val="ru-RU"/>
        </w:rPr>
        <w:t xml:space="preserve"> та 36,6 % у </w:t>
      </w:r>
      <w:proofErr w:type="spellStart"/>
      <w:r w:rsidRPr="00DD66E5">
        <w:rPr>
          <w:lang w:val="ru-RU"/>
        </w:rPr>
        <w:t>сфері</w:t>
      </w:r>
      <w:proofErr w:type="spellEnd"/>
      <w:r w:rsidRPr="00DD66E5">
        <w:rPr>
          <w:lang w:val="ru-RU"/>
        </w:rPr>
        <w:t xml:space="preserve"> транспорту та </w:t>
      </w:r>
      <w:proofErr w:type="spellStart"/>
      <w:r w:rsidRPr="00DD66E5">
        <w:rPr>
          <w:lang w:val="ru-RU"/>
        </w:rPr>
        <w:t>складському</w:t>
      </w:r>
      <w:proofErr w:type="spellEnd"/>
      <w:r w:rsidRPr="00DD66E5">
        <w:rPr>
          <w:lang w:val="ru-RU"/>
        </w:rPr>
        <w:t xml:space="preserve"> </w:t>
      </w:r>
      <w:proofErr w:type="spellStart"/>
      <w:r w:rsidRPr="00DD66E5">
        <w:rPr>
          <w:lang w:val="ru-RU"/>
        </w:rPr>
        <w:t>господарстві</w:t>
      </w:r>
      <w:proofErr w:type="spellEnd"/>
      <w:r w:rsidRPr="00DD66E5">
        <w:rPr>
          <w:lang w:val="ru-RU"/>
        </w:rPr>
        <w:t xml:space="preserve">), </w:t>
      </w:r>
      <w:proofErr w:type="spellStart"/>
      <w:r w:rsidRPr="00DD66E5">
        <w:rPr>
          <w:lang w:val="ru-RU"/>
        </w:rPr>
        <w:t>збільшилась</w:t>
      </w:r>
      <w:proofErr w:type="spellEnd"/>
      <w:r w:rsidRPr="00DD66E5">
        <w:rPr>
          <w:lang w:val="ru-RU"/>
        </w:rPr>
        <w:t xml:space="preserve"> </w:t>
      </w:r>
      <w:proofErr w:type="spellStart"/>
      <w:r w:rsidRPr="00DD66E5">
        <w:rPr>
          <w:lang w:val="ru-RU"/>
        </w:rPr>
        <w:t>частка</w:t>
      </w:r>
      <w:proofErr w:type="spellEnd"/>
      <w:r w:rsidRPr="00DD66E5">
        <w:rPr>
          <w:lang w:val="ru-RU"/>
        </w:rPr>
        <w:t xml:space="preserve"> </w:t>
      </w:r>
      <w:proofErr w:type="spellStart"/>
      <w:r w:rsidRPr="00DD66E5">
        <w:rPr>
          <w:lang w:val="ru-RU"/>
        </w:rPr>
        <w:t>економічно</w:t>
      </w:r>
      <w:proofErr w:type="spellEnd"/>
      <w:r w:rsidRPr="00DD66E5">
        <w:rPr>
          <w:lang w:val="ru-RU"/>
        </w:rPr>
        <w:t xml:space="preserve"> неактивного </w:t>
      </w:r>
      <w:proofErr w:type="spellStart"/>
      <w:r w:rsidRPr="00DD66E5">
        <w:rPr>
          <w:lang w:val="ru-RU"/>
        </w:rPr>
        <w:t>населення</w:t>
      </w:r>
      <w:proofErr w:type="spellEnd"/>
      <w:r w:rsidRPr="00DD66E5">
        <w:rPr>
          <w:lang w:val="ru-RU"/>
        </w:rPr>
        <w:t xml:space="preserve"> (з 35,1 % у 2013 р. до 37,5 % у 2015 р. та до 37,9 % у 1 </w:t>
      </w:r>
      <w:proofErr w:type="spellStart"/>
      <w:r w:rsidRPr="00DD66E5">
        <w:rPr>
          <w:lang w:val="ru-RU"/>
        </w:rPr>
        <w:t>півріччі</w:t>
      </w:r>
      <w:proofErr w:type="spellEnd"/>
      <w:r w:rsidRPr="00DD66E5">
        <w:rPr>
          <w:lang w:val="ru-RU"/>
        </w:rPr>
        <w:t xml:space="preserve"> 2016 р.), </w:t>
      </w:r>
      <w:proofErr w:type="spellStart"/>
      <w:r w:rsidRPr="00DD66E5">
        <w:rPr>
          <w:lang w:val="ru-RU"/>
        </w:rPr>
        <w:t>що</w:t>
      </w:r>
      <w:proofErr w:type="spellEnd"/>
      <w:r w:rsidRPr="00DD66E5">
        <w:rPr>
          <w:lang w:val="ru-RU"/>
        </w:rPr>
        <w:t xml:space="preserve"> </w:t>
      </w:r>
      <w:proofErr w:type="spellStart"/>
      <w:r w:rsidRPr="00DD66E5">
        <w:rPr>
          <w:lang w:val="ru-RU"/>
        </w:rPr>
        <w:t>підвищує</w:t>
      </w:r>
      <w:proofErr w:type="spellEnd"/>
      <w:r w:rsidRPr="00DD66E5">
        <w:rPr>
          <w:lang w:val="ru-RU"/>
        </w:rPr>
        <w:t xml:space="preserve"> </w:t>
      </w:r>
      <w:proofErr w:type="spellStart"/>
      <w:r w:rsidRPr="00DD66E5">
        <w:rPr>
          <w:lang w:val="ru-RU"/>
        </w:rPr>
        <w:t>ризики</w:t>
      </w:r>
      <w:proofErr w:type="spellEnd"/>
      <w:r w:rsidRPr="00DD66E5">
        <w:rPr>
          <w:lang w:val="ru-RU"/>
        </w:rPr>
        <w:t xml:space="preserve"> </w:t>
      </w:r>
      <w:proofErr w:type="spellStart"/>
      <w:r w:rsidRPr="00DD66E5">
        <w:rPr>
          <w:lang w:val="ru-RU"/>
        </w:rPr>
        <w:t>накопичення</w:t>
      </w:r>
      <w:proofErr w:type="spellEnd"/>
      <w:r w:rsidRPr="00DD66E5">
        <w:rPr>
          <w:lang w:val="ru-RU"/>
        </w:rPr>
        <w:t xml:space="preserve"> </w:t>
      </w:r>
      <w:proofErr w:type="spellStart"/>
      <w:r w:rsidRPr="00DD66E5">
        <w:rPr>
          <w:lang w:val="ru-RU"/>
        </w:rPr>
        <w:t>соціальної</w:t>
      </w:r>
      <w:proofErr w:type="spellEnd"/>
      <w:r w:rsidRPr="00DD66E5">
        <w:rPr>
          <w:lang w:val="ru-RU"/>
        </w:rPr>
        <w:t xml:space="preserve"> </w:t>
      </w:r>
      <w:proofErr w:type="spellStart"/>
      <w:r w:rsidRPr="00DD66E5">
        <w:rPr>
          <w:lang w:val="ru-RU"/>
        </w:rPr>
        <w:t>невдоволеності</w:t>
      </w:r>
      <w:proofErr w:type="spellEnd"/>
      <w:r w:rsidRPr="00DD66E5">
        <w:rPr>
          <w:lang w:val="ru-RU"/>
        </w:rPr>
        <w:t xml:space="preserve"> та </w:t>
      </w:r>
      <w:proofErr w:type="spellStart"/>
      <w:r w:rsidRPr="00DD66E5">
        <w:rPr>
          <w:lang w:val="ru-RU"/>
        </w:rPr>
        <w:t>агресії</w:t>
      </w:r>
      <w:proofErr w:type="spellEnd"/>
      <w:r w:rsidRPr="00DD66E5">
        <w:rPr>
          <w:lang w:val="ru-RU"/>
        </w:rPr>
        <w:t xml:space="preserve"> у </w:t>
      </w:r>
      <w:proofErr w:type="spellStart"/>
      <w:r w:rsidRPr="00DD66E5">
        <w:rPr>
          <w:lang w:val="ru-RU"/>
        </w:rPr>
        <w:t>суспільстві</w:t>
      </w:r>
      <w:proofErr w:type="spellEnd"/>
      <w:r w:rsidRPr="00DD66E5">
        <w:rPr>
          <w:lang w:val="ru-RU"/>
        </w:rPr>
        <w:t xml:space="preserve"> та </w:t>
      </w:r>
      <w:proofErr w:type="spellStart"/>
      <w:r w:rsidRPr="00DD66E5">
        <w:rPr>
          <w:lang w:val="ru-RU"/>
        </w:rPr>
        <w:t>провокує</w:t>
      </w:r>
      <w:proofErr w:type="spellEnd"/>
      <w:r w:rsidRPr="00DD66E5">
        <w:rPr>
          <w:lang w:val="ru-RU"/>
        </w:rPr>
        <w:t xml:space="preserve"> </w:t>
      </w:r>
      <w:proofErr w:type="spellStart"/>
      <w:r w:rsidRPr="00DD66E5">
        <w:rPr>
          <w:lang w:val="ru-RU"/>
        </w:rPr>
        <w:t>поширення</w:t>
      </w:r>
      <w:proofErr w:type="spellEnd"/>
      <w:r w:rsidRPr="00DD66E5">
        <w:rPr>
          <w:lang w:val="ru-RU"/>
        </w:rPr>
        <w:t xml:space="preserve"> такого </w:t>
      </w:r>
      <w:proofErr w:type="spellStart"/>
      <w:r w:rsidRPr="00DD66E5">
        <w:rPr>
          <w:lang w:val="ru-RU"/>
        </w:rPr>
        <w:t>явища</w:t>
      </w:r>
      <w:proofErr w:type="spellEnd"/>
      <w:r w:rsidRPr="00DD66E5">
        <w:rPr>
          <w:lang w:val="ru-RU"/>
        </w:rPr>
        <w:t xml:space="preserve"> як </w:t>
      </w:r>
      <w:proofErr w:type="spellStart"/>
      <w:r w:rsidRPr="00DD66E5">
        <w:rPr>
          <w:lang w:val="ru-RU"/>
        </w:rPr>
        <w:t>соціальне</w:t>
      </w:r>
      <w:proofErr w:type="spellEnd"/>
      <w:r w:rsidRPr="00DD66E5">
        <w:rPr>
          <w:lang w:val="ru-RU"/>
        </w:rPr>
        <w:t xml:space="preserve"> </w:t>
      </w:r>
      <w:proofErr w:type="spellStart"/>
      <w:r w:rsidRPr="00DD66E5">
        <w:rPr>
          <w:lang w:val="ru-RU"/>
        </w:rPr>
        <w:t>відторгнення</w:t>
      </w:r>
      <w:proofErr w:type="spellEnd"/>
      <w:r w:rsidRPr="00DD66E5">
        <w:rPr>
          <w:lang w:val="ru-RU"/>
        </w:rPr>
        <w:t xml:space="preserve">. </w:t>
      </w:r>
      <w:proofErr w:type="spellStart"/>
      <w:r w:rsidR="00423453" w:rsidRPr="00DD66E5">
        <w:rPr>
          <w:lang w:val="ru-RU"/>
        </w:rPr>
        <w:t>Окрім</w:t>
      </w:r>
      <w:proofErr w:type="spellEnd"/>
      <w:r w:rsidR="00423453" w:rsidRPr="00DD66E5">
        <w:rPr>
          <w:lang w:val="ru-RU"/>
        </w:rPr>
        <w:t xml:space="preserve"> того, </w:t>
      </w:r>
      <w:proofErr w:type="spellStart"/>
      <w:r w:rsidR="00423453" w:rsidRPr="00DD66E5">
        <w:rPr>
          <w:lang w:val="ru-RU"/>
        </w:rPr>
        <w:t>останніми</w:t>
      </w:r>
      <w:proofErr w:type="spellEnd"/>
      <w:r w:rsidR="00423453" w:rsidRPr="00DD66E5">
        <w:rPr>
          <w:lang w:val="ru-RU"/>
        </w:rPr>
        <w:t xml:space="preserve"> роками</w:t>
      </w:r>
      <w:r w:rsidRPr="00DD66E5">
        <w:rPr>
          <w:lang w:val="ru-RU"/>
        </w:rPr>
        <w:t xml:space="preserve"> </w:t>
      </w:r>
      <w:proofErr w:type="spellStart"/>
      <w:r w:rsidRPr="00DD66E5">
        <w:rPr>
          <w:lang w:val="ru-RU"/>
        </w:rPr>
        <w:t>спостерігається</w:t>
      </w:r>
      <w:proofErr w:type="spellEnd"/>
      <w:r w:rsidRPr="00DD66E5">
        <w:rPr>
          <w:lang w:val="ru-RU"/>
        </w:rPr>
        <w:t xml:space="preserve"> </w:t>
      </w:r>
      <w:proofErr w:type="spellStart"/>
      <w:r w:rsidRPr="00DD66E5">
        <w:rPr>
          <w:lang w:val="ru-RU"/>
        </w:rPr>
        <w:t>зниження</w:t>
      </w:r>
      <w:proofErr w:type="spellEnd"/>
      <w:r w:rsidRPr="00DD66E5">
        <w:rPr>
          <w:lang w:val="ru-RU"/>
        </w:rPr>
        <w:t xml:space="preserve"> </w:t>
      </w:r>
      <w:proofErr w:type="spellStart"/>
      <w:r w:rsidRPr="00DD66E5">
        <w:rPr>
          <w:lang w:val="ru-RU"/>
        </w:rPr>
        <w:t>престижності</w:t>
      </w:r>
      <w:proofErr w:type="spellEnd"/>
      <w:r w:rsidRPr="00DD66E5">
        <w:rPr>
          <w:lang w:val="ru-RU"/>
        </w:rPr>
        <w:t xml:space="preserve"> </w:t>
      </w:r>
      <w:proofErr w:type="spellStart"/>
      <w:r w:rsidRPr="00DD66E5">
        <w:rPr>
          <w:lang w:val="ru-RU"/>
        </w:rPr>
        <w:t>праці</w:t>
      </w:r>
      <w:proofErr w:type="spellEnd"/>
      <w:r w:rsidRPr="00DD66E5">
        <w:rPr>
          <w:lang w:val="ru-RU"/>
        </w:rPr>
        <w:t xml:space="preserve">, </w:t>
      </w:r>
      <w:proofErr w:type="spellStart"/>
      <w:r w:rsidRPr="00DD66E5">
        <w:rPr>
          <w:lang w:val="ru-RU"/>
        </w:rPr>
        <w:t>спричинене</w:t>
      </w:r>
      <w:proofErr w:type="spellEnd"/>
      <w:r w:rsidRPr="00DD66E5">
        <w:rPr>
          <w:lang w:val="ru-RU"/>
        </w:rPr>
        <w:t xml:space="preserve"> у </w:t>
      </w:r>
      <w:proofErr w:type="spellStart"/>
      <w:r w:rsidRPr="00DD66E5">
        <w:rPr>
          <w:lang w:val="ru-RU"/>
        </w:rPr>
        <w:t>більшій</w:t>
      </w:r>
      <w:proofErr w:type="spellEnd"/>
      <w:r w:rsidRPr="00DD66E5">
        <w:rPr>
          <w:lang w:val="ru-RU"/>
        </w:rPr>
        <w:t xml:space="preserve"> </w:t>
      </w:r>
      <w:proofErr w:type="spellStart"/>
      <w:r w:rsidRPr="00DD66E5">
        <w:rPr>
          <w:lang w:val="ru-RU"/>
        </w:rPr>
        <w:t>мірі</w:t>
      </w:r>
      <w:proofErr w:type="spellEnd"/>
      <w:r w:rsidRPr="00DD66E5">
        <w:rPr>
          <w:lang w:val="ru-RU"/>
        </w:rPr>
        <w:t xml:space="preserve"> </w:t>
      </w:r>
      <w:proofErr w:type="spellStart"/>
      <w:r w:rsidRPr="00DD66E5">
        <w:rPr>
          <w:lang w:val="ru-RU"/>
        </w:rPr>
        <w:t>посиленням</w:t>
      </w:r>
      <w:proofErr w:type="spellEnd"/>
      <w:r w:rsidRPr="00DD66E5">
        <w:rPr>
          <w:lang w:val="ru-RU"/>
        </w:rPr>
        <w:t xml:space="preserve"> </w:t>
      </w:r>
      <w:proofErr w:type="spellStart"/>
      <w:r w:rsidRPr="00DD66E5">
        <w:rPr>
          <w:lang w:val="ru-RU"/>
        </w:rPr>
        <w:t>утриманських</w:t>
      </w:r>
      <w:proofErr w:type="spellEnd"/>
      <w:r w:rsidRPr="00DD66E5">
        <w:rPr>
          <w:lang w:val="ru-RU"/>
        </w:rPr>
        <w:t xml:space="preserve"> </w:t>
      </w:r>
      <w:proofErr w:type="spellStart"/>
      <w:r w:rsidRPr="00DD66E5">
        <w:rPr>
          <w:lang w:val="ru-RU"/>
        </w:rPr>
        <w:t>настроїв</w:t>
      </w:r>
      <w:proofErr w:type="spellEnd"/>
      <w:r w:rsidRPr="00DD66E5">
        <w:rPr>
          <w:lang w:val="ru-RU"/>
        </w:rPr>
        <w:t xml:space="preserve"> та </w:t>
      </w:r>
      <w:proofErr w:type="spellStart"/>
      <w:r w:rsidRPr="00DD66E5">
        <w:rPr>
          <w:lang w:val="ru-RU"/>
        </w:rPr>
        <w:t>яскравими</w:t>
      </w:r>
      <w:proofErr w:type="spellEnd"/>
      <w:r w:rsidRPr="00DD66E5">
        <w:rPr>
          <w:lang w:val="ru-RU"/>
        </w:rPr>
        <w:t xml:space="preserve"> прикладами </w:t>
      </w:r>
      <w:proofErr w:type="spellStart"/>
      <w:r w:rsidRPr="00DD66E5">
        <w:rPr>
          <w:lang w:val="ru-RU"/>
        </w:rPr>
        <w:t>можливостей</w:t>
      </w:r>
      <w:proofErr w:type="spellEnd"/>
      <w:r w:rsidRPr="00DD66E5">
        <w:rPr>
          <w:lang w:val="ru-RU"/>
        </w:rPr>
        <w:t xml:space="preserve"> </w:t>
      </w:r>
      <w:proofErr w:type="spellStart"/>
      <w:r w:rsidRPr="00DD66E5">
        <w:rPr>
          <w:lang w:val="ru-RU"/>
        </w:rPr>
        <w:t>швидкого</w:t>
      </w:r>
      <w:proofErr w:type="spellEnd"/>
      <w:r w:rsidRPr="00DD66E5">
        <w:rPr>
          <w:lang w:val="ru-RU"/>
        </w:rPr>
        <w:t xml:space="preserve"> </w:t>
      </w:r>
      <w:proofErr w:type="spellStart"/>
      <w:r w:rsidRPr="00DD66E5">
        <w:rPr>
          <w:lang w:val="ru-RU"/>
        </w:rPr>
        <w:t>збагачення</w:t>
      </w:r>
      <w:proofErr w:type="spellEnd"/>
      <w:r w:rsidRPr="00DD66E5">
        <w:rPr>
          <w:lang w:val="ru-RU"/>
        </w:rPr>
        <w:t>.</w:t>
      </w:r>
    </w:p>
    <w:p w:rsidR="00423453" w:rsidRPr="00DD66E5" w:rsidRDefault="00423453" w:rsidP="00DD66E5">
      <w:pPr>
        <w:ind w:firstLine="720"/>
        <w:jc w:val="both"/>
      </w:pPr>
      <w:r w:rsidRPr="00DD66E5">
        <w:t xml:space="preserve">На тлі скорочення у 2012 – 2015 рр. обсягів промислового виробництва, зменшення обсягу сільськогосподарської та будівельної продукції, зниження вантажо-, й пасажирообороту та інших показників соціально-економічного розвитку України (табл.1), а також посилення конкуренції внаслідок збільшення міграційних потоків зі Сходу України та утримання невисокої професійної й територіальної мобільності населення вище перелічені проблеми загрожуватимуть зростанням напруженості не лише на вітчизняному ринку праці, а й загалом у суспільстві. </w:t>
      </w:r>
    </w:p>
    <w:p w:rsidR="00423453" w:rsidRPr="00DD66E5" w:rsidRDefault="00423453" w:rsidP="00DD66E5">
      <w:pPr>
        <w:ind w:firstLine="709"/>
        <w:jc w:val="right"/>
        <w:rPr>
          <w:lang w:eastAsia="en-US"/>
        </w:rPr>
      </w:pPr>
      <w:r w:rsidRPr="00DD66E5">
        <w:rPr>
          <w:lang w:eastAsia="en-US"/>
        </w:rPr>
        <w:t>Таблиця 1.</w:t>
      </w:r>
    </w:p>
    <w:p w:rsidR="00423453" w:rsidRPr="00DD66E5" w:rsidRDefault="00423453" w:rsidP="00DD66E5">
      <w:pPr>
        <w:ind w:firstLine="720"/>
        <w:jc w:val="center"/>
        <w:rPr>
          <w:b/>
          <w:lang w:val="ru-RU" w:eastAsia="en-US"/>
        </w:rPr>
      </w:pPr>
      <w:r w:rsidRPr="00DD66E5">
        <w:rPr>
          <w:b/>
          <w:lang w:eastAsia="en-US"/>
        </w:rPr>
        <w:t>Динаміка основних показників соціально-економічного розвитку України</w:t>
      </w:r>
      <w:r w:rsidRPr="00DD66E5">
        <w:rPr>
          <w:b/>
          <w:lang w:val="ru-RU" w:eastAsia="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851"/>
        <w:gridCol w:w="850"/>
        <w:gridCol w:w="851"/>
        <w:gridCol w:w="850"/>
        <w:gridCol w:w="851"/>
        <w:gridCol w:w="850"/>
        <w:gridCol w:w="1052"/>
      </w:tblGrid>
      <w:tr w:rsidR="00423453" w:rsidRPr="00B34D7D" w:rsidTr="004C25E3">
        <w:tc>
          <w:tcPr>
            <w:tcW w:w="3402" w:type="dxa"/>
            <w:tcBorders>
              <w:top w:val="single" w:sz="4" w:space="0" w:color="auto"/>
              <w:left w:val="single" w:sz="4" w:space="0" w:color="auto"/>
              <w:bottom w:val="single" w:sz="4" w:space="0" w:color="auto"/>
              <w:right w:val="single" w:sz="4" w:space="0" w:color="auto"/>
            </w:tcBorders>
          </w:tcPr>
          <w:p w:rsidR="00423453" w:rsidRPr="00B34D7D" w:rsidRDefault="00423453" w:rsidP="00947EE9">
            <w:pPr>
              <w:jc w:val="center"/>
              <w:rPr>
                <w:lang w:eastAsia="en-US"/>
              </w:rPr>
            </w:pPr>
            <w:r w:rsidRPr="00B34D7D">
              <w:rPr>
                <w:lang w:eastAsia="en-US"/>
              </w:rPr>
              <w:t>Показники</w:t>
            </w:r>
          </w:p>
        </w:tc>
        <w:tc>
          <w:tcPr>
            <w:tcW w:w="851" w:type="dxa"/>
            <w:tcBorders>
              <w:top w:val="single" w:sz="4" w:space="0" w:color="auto"/>
              <w:left w:val="single" w:sz="4" w:space="0" w:color="auto"/>
              <w:bottom w:val="single" w:sz="4" w:space="0" w:color="auto"/>
              <w:right w:val="single" w:sz="4" w:space="0" w:color="auto"/>
            </w:tcBorders>
          </w:tcPr>
          <w:p w:rsidR="00423453" w:rsidRPr="00B34D7D" w:rsidRDefault="00423453" w:rsidP="00947EE9">
            <w:pPr>
              <w:jc w:val="center"/>
              <w:rPr>
                <w:lang w:eastAsia="en-US"/>
              </w:rPr>
            </w:pPr>
            <w:r w:rsidRPr="00B34D7D">
              <w:rPr>
                <w:lang w:eastAsia="en-US"/>
              </w:rPr>
              <w:t>2010</w:t>
            </w:r>
          </w:p>
        </w:tc>
        <w:tc>
          <w:tcPr>
            <w:tcW w:w="850" w:type="dxa"/>
            <w:tcBorders>
              <w:top w:val="single" w:sz="4" w:space="0" w:color="auto"/>
              <w:left w:val="single" w:sz="4" w:space="0" w:color="auto"/>
              <w:bottom w:val="single" w:sz="4" w:space="0" w:color="auto"/>
              <w:right w:val="single" w:sz="4" w:space="0" w:color="auto"/>
            </w:tcBorders>
          </w:tcPr>
          <w:p w:rsidR="00423453" w:rsidRPr="00B34D7D" w:rsidRDefault="00423453" w:rsidP="00947EE9">
            <w:pPr>
              <w:jc w:val="center"/>
              <w:rPr>
                <w:lang w:eastAsia="en-US"/>
              </w:rPr>
            </w:pPr>
            <w:r w:rsidRPr="00B34D7D">
              <w:rPr>
                <w:lang w:eastAsia="en-US"/>
              </w:rPr>
              <w:t>2011</w:t>
            </w:r>
          </w:p>
        </w:tc>
        <w:tc>
          <w:tcPr>
            <w:tcW w:w="851" w:type="dxa"/>
            <w:tcBorders>
              <w:top w:val="single" w:sz="4" w:space="0" w:color="auto"/>
              <w:left w:val="single" w:sz="4" w:space="0" w:color="auto"/>
              <w:bottom w:val="single" w:sz="4" w:space="0" w:color="auto"/>
              <w:right w:val="single" w:sz="4" w:space="0" w:color="auto"/>
            </w:tcBorders>
          </w:tcPr>
          <w:p w:rsidR="00423453" w:rsidRPr="00B34D7D" w:rsidRDefault="00423453" w:rsidP="00947EE9">
            <w:pPr>
              <w:jc w:val="center"/>
              <w:rPr>
                <w:lang w:eastAsia="en-US"/>
              </w:rPr>
            </w:pPr>
            <w:r w:rsidRPr="00B34D7D">
              <w:rPr>
                <w:lang w:eastAsia="en-US"/>
              </w:rPr>
              <w:t>2012</w:t>
            </w:r>
          </w:p>
        </w:tc>
        <w:tc>
          <w:tcPr>
            <w:tcW w:w="850" w:type="dxa"/>
            <w:tcBorders>
              <w:top w:val="single" w:sz="4" w:space="0" w:color="auto"/>
              <w:left w:val="single" w:sz="4" w:space="0" w:color="auto"/>
              <w:bottom w:val="single" w:sz="4" w:space="0" w:color="auto"/>
              <w:right w:val="single" w:sz="4" w:space="0" w:color="auto"/>
            </w:tcBorders>
          </w:tcPr>
          <w:p w:rsidR="00423453" w:rsidRPr="00B34D7D" w:rsidRDefault="00423453" w:rsidP="00947EE9">
            <w:pPr>
              <w:jc w:val="center"/>
              <w:rPr>
                <w:lang w:eastAsia="en-US"/>
              </w:rPr>
            </w:pPr>
            <w:r w:rsidRPr="00B34D7D">
              <w:rPr>
                <w:lang w:eastAsia="en-US"/>
              </w:rPr>
              <w:t>2013</w:t>
            </w:r>
          </w:p>
        </w:tc>
        <w:tc>
          <w:tcPr>
            <w:tcW w:w="851" w:type="dxa"/>
            <w:tcBorders>
              <w:top w:val="single" w:sz="4" w:space="0" w:color="auto"/>
              <w:left w:val="single" w:sz="4" w:space="0" w:color="auto"/>
              <w:bottom w:val="single" w:sz="4" w:space="0" w:color="auto"/>
              <w:right w:val="single" w:sz="4" w:space="0" w:color="auto"/>
            </w:tcBorders>
          </w:tcPr>
          <w:p w:rsidR="00423453" w:rsidRPr="00B34D7D" w:rsidRDefault="00423453" w:rsidP="00947EE9">
            <w:pPr>
              <w:jc w:val="center"/>
              <w:rPr>
                <w:lang w:eastAsia="en-US"/>
              </w:rPr>
            </w:pPr>
            <w:r w:rsidRPr="00B34D7D">
              <w:rPr>
                <w:lang w:eastAsia="en-US"/>
              </w:rPr>
              <w:t>2014</w:t>
            </w:r>
          </w:p>
        </w:tc>
        <w:tc>
          <w:tcPr>
            <w:tcW w:w="850" w:type="dxa"/>
            <w:tcBorders>
              <w:top w:val="single" w:sz="4" w:space="0" w:color="auto"/>
              <w:left w:val="single" w:sz="4" w:space="0" w:color="auto"/>
              <w:bottom w:val="single" w:sz="4" w:space="0" w:color="auto"/>
              <w:right w:val="single" w:sz="4" w:space="0" w:color="auto"/>
            </w:tcBorders>
          </w:tcPr>
          <w:p w:rsidR="00423453" w:rsidRPr="00B34D7D" w:rsidRDefault="00423453" w:rsidP="00947EE9">
            <w:pPr>
              <w:jc w:val="center"/>
              <w:rPr>
                <w:lang w:eastAsia="en-US"/>
              </w:rPr>
            </w:pPr>
            <w:r w:rsidRPr="00B34D7D">
              <w:rPr>
                <w:lang w:eastAsia="en-US"/>
              </w:rPr>
              <w:t>2015</w:t>
            </w:r>
          </w:p>
        </w:tc>
        <w:tc>
          <w:tcPr>
            <w:tcW w:w="1052" w:type="dxa"/>
            <w:tcBorders>
              <w:top w:val="single" w:sz="4" w:space="0" w:color="auto"/>
              <w:left w:val="single" w:sz="4" w:space="0" w:color="auto"/>
              <w:bottom w:val="single" w:sz="4" w:space="0" w:color="auto"/>
              <w:right w:val="single" w:sz="4" w:space="0" w:color="auto"/>
            </w:tcBorders>
          </w:tcPr>
          <w:p w:rsidR="00423453" w:rsidRPr="00B34D7D" w:rsidRDefault="00423453" w:rsidP="00947EE9">
            <w:pPr>
              <w:jc w:val="center"/>
              <w:rPr>
                <w:lang w:eastAsia="en-US"/>
              </w:rPr>
            </w:pPr>
            <w:r w:rsidRPr="00B34D7D">
              <w:rPr>
                <w:lang w:eastAsia="en-US"/>
              </w:rPr>
              <w:t xml:space="preserve">2016 </w:t>
            </w:r>
          </w:p>
          <w:p w:rsidR="00423453" w:rsidRPr="00B34D7D" w:rsidRDefault="00423453" w:rsidP="004C25E3">
            <w:pPr>
              <w:ind w:left="-113" w:right="-113"/>
              <w:jc w:val="center"/>
              <w:rPr>
                <w:lang w:eastAsia="en-US"/>
              </w:rPr>
            </w:pPr>
            <w:r w:rsidRPr="00B34D7D">
              <w:rPr>
                <w:lang w:eastAsia="en-US"/>
              </w:rPr>
              <w:t>1 півріччя</w:t>
            </w:r>
          </w:p>
        </w:tc>
      </w:tr>
      <w:tr w:rsidR="00423453" w:rsidRPr="00B34D7D" w:rsidTr="004C25E3">
        <w:tc>
          <w:tcPr>
            <w:tcW w:w="3402" w:type="dxa"/>
            <w:tcBorders>
              <w:top w:val="single" w:sz="4" w:space="0" w:color="auto"/>
              <w:left w:val="single" w:sz="4" w:space="0" w:color="auto"/>
              <w:bottom w:val="single" w:sz="4" w:space="0" w:color="auto"/>
              <w:right w:val="single" w:sz="4" w:space="0" w:color="auto"/>
            </w:tcBorders>
          </w:tcPr>
          <w:p w:rsidR="00423453" w:rsidRPr="00B34D7D" w:rsidRDefault="00423453" w:rsidP="00947EE9">
            <w:pPr>
              <w:rPr>
                <w:lang w:eastAsia="en-US"/>
              </w:rPr>
            </w:pPr>
            <w:r w:rsidRPr="00B34D7D">
              <w:rPr>
                <w:lang w:eastAsia="en-US"/>
              </w:rPr>
              <w:t>ВВП на душу населення (у % до попереднього року)</w:t>
            </w:r>
          </w:p>
        </w:tc>
        <w:tc>
          <w:tcPr>
            <w:tcW w:w="851" w:type="dxa"/>
            <w:tcBorders>
              <w:top w:val="single" w:sz="4" w:space="0" w:color="auto"/>
              <w:left w:val="single" w:sz="4" w:space="0" w:color="auto"/>
              <w:bottom w:val="single" w:sz="4" w:space="0" w:color="auto"/>
              <w:right w:val="single" w:sz="4" w:space="0" w:color="auto"/>
            </w:tcBorders>
          </w:tcPr>
          <w:p w:rsidR="00423453" w:rsidRPr="00B34D7D" w:rsidRDefault="00423453" w:rsidP="00947EE9">
            <w:pPr>
              <w:jc w:val="center"/>
              <w:rPr>
                <w:lang w:eastAsia="en-US"/>
              </w:rPr>
            </w:pPr>
            <w:r w:rsidRPr="00B34D7D">
              <w:rPr>
                <w:lang w:eastAsia="en-US"/>
              </w:rPr>
              <w:t>104,5</w:t>
            </w:r>
          </w:p>
        </w:tc>
        <w:tc>
          <w:tcPr>
            <w:tcW w:w="850" w:type="dxa"/>
            <w:tcBorders>
              <w:top w:val="single" w:sz="4" w:space="0" w:color="auto"/>
              <w:left w:val="single" w:sz="4" w:space="0" w:color="auto"/>
              <w:bottom w:val="single" w:sz="4" w:space="0" w:color="auto"/>
              <w:right w:val="single" w:sz="4" w:space="0" w:color="auto"/>
            </w:tcBorders>
          </w:tcPr>
          <w:p w:rsidR="00423453" w:rsidRPr="00B34D7D" w:rsidRDefault="00423453" w:rsidP="00947EE9">
            <w:pPr>
              <w:jc w:val="center"/>
              <w:rPr>
                <w:lang w:eastAsia="en-US"/>
              </w:rPr>
            </w:pPr>
            <w:r w:rsidRPr="00B34D7D">
              <w:rPr>
                <w:lang w:eastAsia="en-US"/>
              </w:rPr>
              <w:t>105,9</w:t>
            </w:r>
          </w:p>
        </w:tc>
        <w:tc>
          <w:tcPr>
            <w:tcW w:w="851" w:type="dxa"/>
            <w:tcBorders>
              <w:top w:val="single" w:sz="4" w:space="0" w:color="auto"/>
              <w:left w:val="single" w:sz="4" w:space="0" w:color="auto"/>
              <w:bottom w:val="single" w:sz="4" w:space="0" w:color="auto"/>
              <w:right w:val="single" w:sz="4" w:space="0" w:color="auto"/>
            </w:tcBorders>
          </w:tcPr>
          <w:p w:rsidR="00423453" w:rsidRPr="00B34D7D" w:rsidRDefault="00423453" w:rsidP="00947EE9">
            <w:pPr>
              <w:jc w:val="center"/>
              <w:rPr>
                <w:lang w:eastAsia="en-US"/>
              </w:rPr>
            </w:pPr>
            <w:r w:rsidRPr="00B34D7D">
              <w:rPr>
                <w:lang w:eastAsia="en-US"/>
              </w:rPr>
              <w:t>100,5</w:t>
            </w:r>
          </w:p>
        </w:tc>
        <w:tc>
          <w:tcPr>
            <w:tcW w:w="850" w:type="dxa"/>
            <w:tcBorders>
              <w:top w:val="single" w:sz="4" w:space="0" w:color="auto"/>
              <w:left w:val="single" w:sz="4" w:space="0" w:color="auto"/>
              <w:bottom w:val="single" w:sz="4" w:space="0" w:color="auto"/>
              <w:right w:val="single" w:sz="4" w:space="0" w:color="auto"/>
            </w:tcBorders>
          </w:tcPr>
          <w:p w:rsidR="00423453" w:rsidRPr="00B34D7D" w:rsidRDefault="00423453" w:rsidP="00947EE9">
            <w:pPr>
              <w:jc w:val="center"/>
              <w:rPr>
                <w:lang w:eastAsia="en-US"/>
              </w:rPr>
            </w:pPr>
            <w:r w:rsidRPr="00B34D7D">
              <w:rPr>
                <w:lang w:eastAsia="en-US"/>
              </w:rPr>
              <w:t>100,2</w:t>
            </w:r>
          </w:p>
        </w:tc>
        <w:tc>
          <w:tcPr>
            <w:tcW w:w="851" w:type="dxa"/>
            <w:tcBorders>
              <w:top w:val="single" w:sz="4" w:space="0" w:color="auto"/>
              <w:left w:val="single" w:sz="4" w:space="0" w:color="auto"/>
              <w:bottom w:val="single" w:sz="4" w:space="0" w:color="auto"/>
              <w:right w:val="single" w:sz="4" w:space="0" w:color="auto"/>
            </w:tcBorders>
          </w:tcPr>
          <w:p w:rsidR="00423453" w:rsidRPr="00B34D7D" w:rsidRDefault="00423453" w:rsidP="00947EE9">
            <w:pPr>
              <w:jc w:val="center"/>
              <w:rPr>
                <w:lang w:eastAsia="en-US"/>
              </w:rPr>
            </w:pPr>
            <w:r w:rsidRPr="00B34D7D">
              <w:rPr>
                <w:lang w:eastAsia="en-US"/>
              </w:rPr>
              <w:t>93,7</w:t>
            </w:r>
          </w:p>
        </w:tc>
        <w:tc>
          <w:tcPr>
            <w:tcW w:w="850" w:type="dxa"/>
            <w:tcBorders>
              <w:top w:val="single" w:sz="4" w:space="0" w:color="auto"/>
              <w:left w:val="single" w:sz="4" w:space="0" w:color="auto"/>
              <w:bottom w:val="single" w:sz="4" w:space="0" w:color="auto"/>
              <w:right w:val="single" w:sz="4" w:space="0" w:color="auto"/>
            </w:tcBorders>
          </w:tcPr>
          <w:p w:rsidR="00423453" w:rsidRPr="00B34D7D" w:rsidRDefault="00423453" w:rsidP="00947EE9">
            <w:pPr>
              <w:jc w:val="center"/>
              <w:rPr>
                <w:lang w:eastAsia="en-US"/>
              </w:rPr>
            </w:pPr>
            <w:r w:rsidRPr="00B34D7D">
              <w:rPr>
                <w:lang w:eastAsia="en-US"/>
              </w:rPr>
              <w:t>91,5</w:t>
            </w:r>
          </w:p>
        </w:tc>
        <w:tc>
          <w:tcPr>
            <w:tcW w:w="1052" w:type="dxa"/>
            <w:tcBorders>
              <w:top w:val="single" w:sz="4" w:space="0" w:color="auto"/>
              <w:left w:val="single" w:sz="4" w:space="0" w:color="auto"/>
              <w:bottom w:val="single" w:sz="4" w:space="0" w:color="auto"/>
              <w:right w:val="single" w:sz="4" w:space="0" w:color="auto"/>
            </w:tcBorders>
          </w:tcPr>
          <w:p w:rsidR="00423453" w:rsidRPr="00B34D7D" w:rsidRDefault="00423453" w:rsidP="00947EE9">
            <w:pPr>
              <w:jc w:val="center"/>
              <w:rPr>
                <w:lang w:eastAsia="en-US"/>
              </w:rPr>
            </w:pPr>
          </w:p>
        </w:tc>
      </w:tr>
      <w:tr w:rsidR="00423453" w:rsidRPr="00B34D7D" w:rsidTr="004C25E3">
        <w:tc>
          <w:tcPr>
            <w:tcW w:w="3402" w:type="dxa"/>
            <w:tcBorders>
              <w:top w:val="single" w:sz="4" w:space="0" w:color="auto"/>
              <w:left w:val="single" w:sz="4" w:space="0" w:color="auto"/>
              <w:bottom w:val="single" w:sz="4" w:space="0" w:color="auto"/>
              <w:right w:val="single" w:sz="4" w:space="0" w:color="auto"/>
            </w:tcBorders>
          </w:tcPr>
          <w:p w:rsidR="00423453" w:rsidRPr="00B34D7D" w:rsidRDefault="00423453" w:rsidP="00947EE9">
            <w:pPr>
              <w:rPr>
                <w:lang w:eastAsia="en-US"/>
              </w:rPr>
            </w:pPr>
            <w:r w:rsidRPr="00B34D7D">
              <w:rPr>
                <w:lang w:eastAsia="en-US"/>
              </w:rPr>
              <w:t>Індекс споживчих цін, %</w:t>
            </w:r>
          </w:p>
        </w:tc>
        <w:tc>
          <w:tcPr>
            <w:tcW w:w="851" w:type="dxa"/>
            <w:tcBorders>
              <w:top w:val="single" w:sz="4" w:space="0" w:color="auto"/>
              <w:left w:val="single" w:sz="4" w:space="0" w:color="auto"/>
              <w:bottom w:val="single" w:sz="4" w:space="0" w:color="auto"/>
              <w:right w:val="single" w:sz="4" w:space="0" w:color="auto"/>
            </w:tcBorders>
          </w:tcPr>
          <w:p w:rsidR="00423453" w:rsidRPr="00B34D7D" w:rsidRDefault="00423453" w:rsidP="00947EE9">
            <w:pPr>
              <w:jc w:val="center"/>
              <w:rPr>
                <w:lang w:eastAsia="en-US"/>
              </w:rPr>
            </w:pPr>
            <w:r w:rsidRPr="00B34D7D">
              <w:rPr>
                <w:lang w:eastAsia="en-US"/>
              </w:rPr>
              <w:t>109,1</w:t>
            </w:r>
          </w:p>
        </w:tc>
        <w:tc>
          <w:tcPr>
            <w:tcW w:w="850" w:type="dxa"/>
            <w:tcBorders>
              <w:top w:val="single" w:sz="4" w:space="0" w:color="auto"/>
              <w:left w:val="single" w:sz="4" w:space="0" w:color="auto"/>
              <w:bottom w:val="single" w:sz="4" w:space="0" w:color="auto"/>
              <w:right w:val="single" w:sz="4" w:space="0" w:color="auto"/>
            </w:tcBorders>
          </w:tcPr>
          <w:p w:rsidR="00423453" w:rsidRPr="00B34D7D" w:rsidRDefault="00423453" w:rsidP="00947EE9">
            <w:pPr>
              <w:jc w:val="center"/>
              <w:rPr>
                <w:lang w:eastAsia="en-US"/>
              </w:rPr>
            </w:pPr>
            <w:r w:rsidRPr="00B34D7D">
              <w:rPr>
                <w:lang w:eastAsia="en-US"/>
              </w:rPr>
              <w:t>104,6</w:t>
            </w:r>
          </w:p>
        </w:tc>
        <w:tc>
          <w:tcPr>
            <w:tcW w:w="851" w:type="dxa"/>
            <w:tcBorders>
              <w:top w:val="single" w:sz="4" w:space="0" w:color="auto"/>
              <w:left w:val="single" w:sz="4" w:space="0" w:color="auto"/>
              <w:bottom w:val="single" w:sz="4" w:space="0" w:color="auto"/>
              <w:right w:val="single" w:sz="4" w:space="0" w:color="auto"/>
            </w:tcBorders>
          </w:tcPr>
          <w:p w:rsidR="00423453" w:rsidRPr="00B34D7D" w:rsidRDefault="00423453" w:rsidP="00947EE9">
            <w:pPr>
              <w:jc w:val="center"/>
              <w:rPr>
                <w:lang w:eastAsia="en-US"/>
              </w:rPr>
            </w:pPr>
            <w:r w:rsidRPr="00B34D7D">
              <w:rPr>
                <w:lang w:eastAsia="en-US"/>
              </w:rPr>
              <w:t>99,8</w:t>
            </w:r>
          </w:p>
        </w:tc>
        <w:tc>
          <w:tcPr>
            <w:tcW w:w="850" w:type="dxa"/>
            <w:tcBorders>
              <w:top w:val="single" w:sz="4" w:space="0" w:color="auto"/>
              <w:left w:val="single" w:sz="4" w:space="0" w:color="auto"/>
              <w:bottom w:val="single" w:sz="4" w:space="0" w:color="auto"/>
              <w:right w:val="single" w:sz="4" w:space="0" w:color="auto"/>
            </w:tcBorders>
          </w:tcPr>
          <w:p w:rsidR="00423453" w:rsidRPr="00B34D7D" w:rsidRDefault="00423453" w:rsidP="00947EE9">
            <w:pPr>
              <w:jc w:val="center"/>
              <w:rPr>
                <w:lang w:eastAsia="en-US"/>
              </w:rPr>
            </w:pPr>
            <w:r w:rsidRPr="00B34D7D">
              <w:rPr>
                <w:lang w:eastAsia="en-US"/>
              </w:rPr>
              <w:t>100,5</w:t>
            </w:r>
          </w:p>
        </w:tc>
        <w:tc>
          <w:tcPr>
            <w:tcW w:w="851" w:type="dxa"/>
            <w:tcBorders>
              <w:top w:val="single" w:sz="4" w:space="0" w:color="auto"/>
              <w:left w:val="single" w:sz="4" w:space="0" w:color="auto"/>
              <w:bottom w:val="single" w:sz="4" w:space="0" w:color="auto"/>
              <w:right w:val="single" w:sz="4" w:space="0" w:color="auto"/>
            </w:tcBorders>
          </w:tcPr>
          <w:p w:rsidR="00423453" w:rsidRPr="00B34D7D" w:rsidRDefault="00423453" w:rsidP="00947EE9">
            <w:pPr>
              <w:jc w:val="center"/>
              <w:rPr>
                <w:lang w:eastAsia="en-US"/>
              </w:rPr>
            </w:pPr>
            <w:r w:rsidRPr="00B34D7D">
              <w:rPr>
                <w:lang w:eastAsia="en-US"/>
              </w:rPr>
              <w:t>112,1</w:t>
            </w:r>
          </w:p>
        </w:tc>
        <w:tc>
          <w:tcPr>
            <w:tcW w:w="850" w:type="dxa"/>
            <w:tcBorders>
              <w:top w:val="single" w:sz="4" w:space="0" w:color="auto"/>
              <w:left w:val="single" w:sz="4" w:space="0" w:color="auto"/>
              <w:bottom w:val="single" w:sz="4" w:space="0" w:color="auto"/>
              <w:right w:val="single" w:sz="4" w:space="0" w:color="auto"/>
            </w:tcBorders>
          </w:tcPr>
          <w:p w:rsidR="00423453" w:rsidRPr="00B34D7D" w:rsidRDefault="00423453" w:rsidP="00947EE9">
            <w:pPr>
              <w:jc w:val="center"/>
              <w:rPr>
                <w:lang w:eastAsia="en-US"/>
              </w:rPr>
            </w:pPr>
            <w:r w:rsidRPr="00B34D7D">
              <w:rPr>
                <w:lang w:eastAsia="en-US"/>
              </w:rPr>
              <w:t>148,7</w:t>
            </w:r>
          </w:p>
        </w:tc>
        <w:tc>
          <w:tcPr>
            <w:tcW w:w="1052" w:type="dxa"/>
            <w:tcBorders>
              <w:top w:val="single" w:sz="4" w:space="0" w:color="auto"/>
              <w:left w:val="single" w:sz="4" w:space="0" w:color="auto"/>
              <w:bottom w:val="single" w:sz="4" w:space="0" w:color="auto"/>
              <w:right w:val="single" w:sz="4" w:space="0" w:color="auto"/>
            </w:tcBorders>
          </w:tcPr>
          <w:p w:rsidR="00423453" w:rsidRPr="00B34D7D" w:rsidRDefault="00423453" w:rsidP="00947EE9">
            <w:pPr>
              <w:jc w:val="center"/>
              <w:rPr>
                <w:lang w:eastAsia="en-US"/>
              </w:rPr>
            </w:pPr>
            <w:r w:rsidRPr="00B34D7D">
              <w:rPr>
                <w:lang w:eastAsia="en-US"/>
              </w:rPr>
              <w:t>118,1</w:t>
            </w:r>
          </w:p>
        </w:tc>
      </w:tr>
      <w:tr w:rsidR="00423453" w:rsidRPr="00B34D7D" w:rsidTr="004C25E3">
        <w:tc>
          <w:tcPr>
            <w:tcW w:w="3402" w:type="dxa"/>
            <w:tcBorders>
              <w:top w:val="single" w:sz="4" w:space="0" w:color="auto"/>
              <w:left w:val="single" w:sz="4" w:space="0" w:color="auto"/>
              <w:bottom w:val="single" w:sz="4" w:space="0" w:color="auto"/>
              <w:right w:val="single" w:sz="4" w:space="0" w:color="auto"/>
            </w:tcBorders>
          </w:tcPr>
          <w:p w:rsidR="00423453" w:rsidRPr="00B34D7D" w:rsidRDefault="00423453" w:rsidP="00947EE9">
            <w:pPr>
              <w:rPr>
                <w:lang w:eastAsia="en-US"/>
              </w:rPr>
            </w:pPr>
            <w:r w:rsidRPr="00B34D7D">
              <w:rPr>
                <w:lang w:eastAsia="en-US"/>
              </w:rPr>
              <w:t>Індекс промислової продукції,%</w:t>
            </w:r>
          </w:p>
        </w:tc>
        <w:tc>
          <w:tcPr>
            <w:tcW w:w="851" w:type="dxa"/>
            <w:tcBorders>
              <w:top w:val="single" w:sz="4" w:space="0" w:color="auto"/>
              <w:left w:val="single" w:sz="4" w:space="0" w:color="auto"/>
              <w:bottom w:val="single" w:sz="4" w:space="0" w:color="auto"/>
              <w:right w:val="single" w:sz="4" w:space="0" w:color="auto"/>
            </w:tcBorders>
          </w:tcPr>
          <w:p w:rsidR="00423453" w:rsidRPr="00B34D7D" w:rsidRDefault="00423453" w:rsidP="00947EE9">
            <w:pPr>
              <w:jc w:val="center"/>
              <w:rPr>
                <w:lang w:eastAsia="en-US"/>
              </w:rPr>
            </w:pPr>
            <w:r w:rsidRPr="00B34D7D">
              <w:rPr>
                <w:lang w:eastAsia="en-US"/>
              </w:rPr>
              <w:t>111,2</w:t>
            </w:r>
          </w:p>
        </w:tc>
        <w:tc>
          <w:tcPr>
            <w:tcW w:w="850" w:type="dxa"/>
            <w:tcBorders>
              <w:top w:val="single" w:sz="4" w:space="0" w:color="auto"/>
              <w:left w:val="single" w:sz="4" w:space="0" w:color="auto"/>
              <w:bottom w:val="single" w:sz="4" w:space="0" w:color="auto"/>
              <w:right w:val="single" w:sz="4" w:space="0" w:color="auto"/>
            </w:tcBorders>
          </w:tcPr>
          <w:p w:rsidR="00423453" w:rsidRPr="00B34D7D" w:rsidRDefault="00423453" w:rsidP="00947EE9">
            <w:pPr>
              <w:jc w:val="center"/>
              <w:rPr>
                <w:lang w:eastAsia="en-US"/>
              </w:rPr>
            </w:pPr>
            <w:r w:rsidRPr="00B34D7D">
              <w:rPr>
                <w:lang w:eastAsia="en-US"/>
              </w:rPr>
              <w:t>107,3</w:t>
            </w:r>
          </w:p>
        </w:tc>
        <w:tc>
          <w:tcPr>
            <w:tcW w:w="851" w:type="dxa"/>
            <w:tcBorders>
              <w:top w:val="single" w:sz="4" w:space="0" w:color="auto"/>
              <w:left w:val="single" w:sz="4" w:space="0" w:color="auto"/>
              <w:bottom w:val="single" w:sz="4" w:space="0" w:color="auto"/>
              <w:right w:val="single" w:sz="4" w:space="0" w:color="auto"/>
            </w:tcBorders>
          </w:tcPr>
          <w:p w:rsidR="00423453" w:rsidRPr="00B34D7D" w:rsidRDefault="00423453" w:rsidP="00947EE9">
            <w:pPr>
              <w:jc w:val="center"/>
              <w:rPr>
                <w:lang w:eastAsia="en-US"/>
              </w:rPr>
            </w:pPr>
            <w:r w:rsidRPr="00B34D7D">
              <w:rPr>
                <w:lang w:eastAsia="en-US"/>
              </w:rPr>
              <w:t>99,5</w:t>
            </w:r>
          </w:p>
        </w:tc>
        <w:tc>
          <w:tcPr>
            <w:tcW w:w="850" w:type="dxa"/>
            <w:tcBorders>
              <w:top w:val="single" w:sz="4" w:space="0" w:color="auto"/>
              <w:left w:val="single" w:sz="4" w:space="0" w:color="auto"/>
              <w:bottom w:val="single" w:sz="4" w:space="0" w:color="auto"/>
              <w:right w:val="single" w:sz="4" w:space="0" w:color="auto"/>
            </w:tcBorders>
          </w:tcPr>
          <w:p w:rsidR="00423453" w:rsidRPr="00B34D7D" w:rsidRDefault="00423453" w:rsidP="00947EE9">
            <w:pPr>
              <w:jc w:val="center"/>
              <w:rPr>
                <w:lang w:eastAsia="en-US"/>
              </w:rPr>
            </w:pPr>
            <w:r w:rsidRPr="00B34D7D">
              <w:rPr>
                <w:lang w:eastAsia="en-US"/>
              </w:rPr>
              <w:t>95,3</w:t>
            </w:r>
          </w:p>
        </w:tc>
        <w:tc>
          <w:tcPr>
            <w:tcW w:w="851" w:type="dxa"/>
            <w:tcBorders>
              <w:top w:val="single" w:sz="4" w:space="0" w:color="auto"/>
              <w:left w:val="single" w:sz="4" w:space="0" w:color="auto"/>
              <w:bottom w:val="single" w:sz="4" w:space="0" w:color="auto"/>
              <w:right w:val="single" w:sz="4" w:space="0" w:color="auto"/>
            </w:tcBorders>
          </w:tcPr>
          <w:p w:rsidR="00423453" w:rsidRPr="00B34D7D" w:rsidRDefault="00423453" w:rsidP="00947EE9">
            <w:pPr>
              <w:jc w:val="center"/>
              <w:rPr>
                <w:lang w:eastAsia="en-US"/>
              </w:rPr>
            </w:pPr>
            <w:r w:rsidRPr="00B34D7D">
              <w:rPr>
                <w:lang w:eastAsia="en-US"/>
              </w:rPr>
              <w:t>89,9</w:t>
            </w:r>
          </w:p>
        </w:tc>
        <w:tc>
          <w:tcPr>
            <w:tcW w:w="850" w:type="dxa"/>
            <w:tcBorders>
              <w:top w:val="single" w:sz="4" w:space="0" w:color="auto"/>
              <w:left w:val="single" w:sz="4" w:space="0" w:color="auto"/>
              <w:bottom w:val="single" w:sz="4" w:space="0" w:color="auto"/>
              <w:right w:val="single" w:sz="4" w:space="0" w:color="auto"/>
            </w:tcBorders>
          </w:tcPr>
          <w:p w:rsidR="00423453" w:rsidRPr="00B34D7D" w:rsidRDefault="00423453" w:rsidP="00947EE9">
            <w:pPr>
              <w:jc w:val="center"/>
              <w:rPr>
                <w:lang w:eastAsia="en-US"/>
              </w:rPr>
            </w:pPr>
            <w:r w:rsidRPr="00B34D7D">
              <w:rPr>
                <w:lang w:eastAsia="en-US"/>
              </w:rPr>
              <w:t>86,6</w:t>
            </w:r>
          </w:p>
        </w:tc>
        <w:tc>
          <w:tcPr>
            <w:tcW w:w="1052" w:type="dxa"/>
            <w:tcBorders>
              <w:top w:val="single" w:sz="4" w:space="0" w:color="auto"/>
              <w:left w:val="single" w:sz="4" w:space="0" w:color="auto"/>
              <w:bottom w:val="single" w:sz="4" w:space="0" w:color="auto"/>
              <w:right w:val="single" w:sz="4" w:space="0" w:color="auto"/>
            </w:tcBorders>
          </w:tcPr>
          <w:p w:rsidR="00423453" w:rsidRPr="00B34D7D" w:rsidRDefault="00423453" w:rsidP="00947EE9">
            <w:pPr>
              <w:jc w:val="center"/>
              <w:rPr>
                <w:lang w:eastAsia="en-US"/>
              </w:rPr>
            </w:pPr>
            <w:r w:rsidRPr="00B34D7D">
              <w:rPr>
                <w:lang w:eastAsia="en-US"/>
              </w:rPr>
              <w:t>115,0</w:t>
            </w:r>
          </w:p>
        </w:tc>
      </w:tr>
      <w:tr w:rsidR="00423453" w:rsidRPr="00B34D7D" w:rsidTr="004C25E3">
        <w:tc>
          <w:tcPr>
            <w:tcW w:w="3402" w:type="dxa"/>
            <w:tcBorders>
              <w:top w:val="single" w:sz="4" w:space="0" w:color="auto"/>
              <w:left w:val="single" w:sz="4" w:space="0" w:color="auto"/>
              <w:bottom w:val="single" w:sz="4" w:space="0" w:color="auto"/>
              <w:right w:val="single" w:sz="4" w:space="0" w:color="auto"/>
            </w:tcBorders>
          </w:tcPr>
          <w:p w:rsidR="00423453" w:rsidRPr="00B34D7D" w:rsidRDefault="00423453" w:rsidP="00947EE9">
            <w:pPr>
              <w:rPr>
                <w:lang w:eastAsia="en-US"/>
              </w:rPr>
            </w:pPr>
            <w:r w:rsidRPr="00B34D7D">
              <w:rPr>
                <w:lang w:eastAsia="en-US"/>
              </w:rPr>
              <w:t>Індекс обсягу с/г продукції,%</w:t>
            </w:r>
          </w:p>
        </w:tc>
        <w:tc>
          <w:tcPr>
            <w:tcW w:w="851" w:type="dxa"/>
            <w:tcBorders>
              <w:top w:val="single" w:sz="4" w:space="0" w:color="auto"/>
              <w:left w:val="single" w:sz="4" w:space="0" w:color="auto"/>
              <w:bottom w:val="single" w:sz="4" w:space="0" w:color="auto"/>
              <w:right w:val="single" w:sz="4" w:space="0" w:color="auto"/>
            </w:tcBorders>
          </w:tcPr>
          <w:p w:rsidR="00423453" w:rsidRPr="00B34D7D" w:rsidRDefault="00423453" w:rsidP="00947EE9">
            <w:pPr>
              <w:jc w:val="center"/>
              <w:rPr>
                <w:lang w:eastAsia="en-US"/>
              </w:rPr>
            </w:pPr>
            <w:r w:rsidRPr="00B34D7D">
              <w:rPr>
                <w:lang w:eastAsia="en-US"/>
              </w:rPr>
              <w:t>98,5</w:t>
            </w:r>
          </w:p>
        </w:tc>
        <w:tc>
          <w:tcPr>
            <w:tcW w:w="850" w:type="dxa"/>
            <w:tcBorders>
              <w:top w:val="single" w:sz="4" w:space="0" w:color="auto"/>
              <w:left w:val="single" w:sz="4" w:space="0" w:color="auto"/>
              <w:bottom w:val="single" w:sz="4" w:space="0" w:color="auto"/>
              <w:right w:val="single" w:sz="4" w:space="0" w:color="auto"/>
            </w:tcBorders>
          </w:tcPr>
          <w:p w:rsidR="00423453" w:rsidRPr="00B34D7D" w:rsidRDefault="00423453" w:rsidP="00947EE9">
            <w:pPr>
              <w:jc w:val="center"/>
              <w:rPr>
                <w:lang w:eastAsia="en-US"/>
              </w:rPr>
            </w:pPr>
            <w:r w:rsidRPr="00B34D7D">
              <w:rPr>
                <w:lang w:eastAsia="en-US"/>
              </w:rPr>
              <w:t>117,5</w:t>
            </w:r>
          </w:p>
        </w:tc>
        <w:tc>
          <w:tcPr>
            <w:tcW w:w="851" w:type="dxa"/>
            <w:tcBorders>
              <w:top w:val="single" w:sz="4" w:space="0" w:color="auto"/>
              <w:left w:val="single" w:sz="4" w:space="0" w:color="auto"/>
              <w:bottom w:val="single" w:sz="4" w:space="0" w:color="auto"/>
              <w:right w:val="single" w:sz="4" w:space="0" w:color="auto"/>
            </w:tcBorders>
          </w:tcPr>
          <w:p w:rsidR="00423453" w:rsidRPr="00B34D7D" w:rsidRDefault="00423453" w:rsidP="00947EE9">
            <w:pPr>
              <w:jc w:val="center"/>
              <w:rPr>
                <w:lang w:eastAsia="en-US"/>
              </w:rPr>
            </w:pPr>
            <w:r w:rsidRPr="00B34D7D">
              <w:rPr>
                <w:lang w:eastAsia="en-US"/>
              </w:rPr>
              <w:t>95,5</w:t>
            </w:r>
          </w:p>
        </w:tc>
        <w:tc>
          <w:tcPr>
            <w:tcW w:w="850" w:type="dxa"/>
            <w:tcBorders>
              <w:top w:val="single" w:sz="4" w:space="0" w:color="auto"/>
              <w:left w:val="single" w:sz="4" w:space="0" w:color="auto"/>
              <w:bottom w:val="single" w:sz="4" w:space="0" w:color="auto"/>
              <w:right w:val="single" w:sz="4" w:space="0" w:color="auto"/>
            </w:tcBorders>
          </w:tcPr>
          <w:p w:rsidR="00423453" w:rsidRPr="00B34D7D" w:rsidRDefault="00423453" w:rsidP="00947EE9">
            <w:pPr>
              <w:jc w:val="center"/>
              <w:rPr>
                <w:lang w:eastAsia="en-US"/>
              </w:rPr>
            </w:pPr>
            <w:r w:rsidRPr="00B34D7D">
              <w:rPr>
                <w:lang w:eastAsia="en-US"/>
              </w:rPr>
              <w:t>113,7</w:t>
            </w:r>
          </w:p>
        </w:tc>
        <w:tc>
          <w:tcPr>
            <w:tcW w:w="851" w:type="dxa"/>
            <w:tcBorders>
              <w:top w:val="single" w:sz="4" w:space="0" w:color="auto"/>
              <w:left w:val="single" w:sz="4" w:space="0" w:color="auto"/>
              <w:bottom w:val="single" w:sz="4" w:space="0" w:color="auto"/>
              <w:right w:val="single" w:sz="4" w:space="0" w:color="auto"/>
            </w:tcBorders>
          </w:tcPr>
          <w:p w:rsidR="00423453" w:rsidRPr="00B34D7D" w:rsidRDefault="00423453" w:rsidP="00947EE9">
            <w:pPr>
              <w:jc w:val="center"/>
              <w:rPr>
                <w:lang w:eastAsia="en-US"/>
              </w:rPr>
            </w:pPr>
            <w:r w:rsidRPr="00B34D7D">
              <w:rPr>
                <w:lang w:eastAsia="en-US"/>
              </w:rPr>
              <w:t>102,2</w:t>
            </w:r>
          </w:p>
        </w:tc>
        <w:tc>
          <w:tcPr>
            <w:tcW w:w="850" w:type="dxa"/>
            <w:tcBorders>
              <w:top w:val="single" w:sz="4" w:space="0" w:color="auto"/>
              <w:left w:val="single" w:sz="4" w:space="0" w:color="auto"/>
              <w:bottom w:val="single" w:sz="4" w:space="0" w:color="auto"/>
              <w:right w:val="single" w:sz="4" w:space="0" w:color="auto"/>
            </w:tcBorders>
          </w:tcPr>
          <w:p w:rsidR="00423453" w:rsidRPr="00B34D7D" w:rsidRDefault="00423453" w:rsidP="00947EE9">
            <w:pPr>
              <w:jc w:val="center"/>
              <w:rPr>
                <w:lang w:eastAsia="en-US"/>
              </w:rPr>
            </w:pPr>
            <w:r w:rsidRPr="00B34D7D">
              <w:rPr>
                <w:lang w:eastAsia="en-US"/>
              </w:rPr>
              <w:t>95,2</w:t>
            </w:r>
          </w:p>
        </w:tc>
        <w:tc>
          <w:tcPr>
            <w:tcW w:w="1052" w:type="dxa"/>
            <w:tcBorders>
              <w:top w:val="single" w:sz="4" w:space="0" w:color="auto"/>
              <w:left w:val="single" w:sz="4" w:space="0" w:color="auto"/>
              <w:bottom w:val="single" w:sz="4" w:space="0" w:color="auto"/>
              <w:right w:val="single" w:sz="4" w:space="0" w:color="auto"/>
            </w:tcBorders>
          </w:tcPr>
          <w:p w:rsidR="00423453" w:rsidRPr="00B34D7D" w:rsidRDefault="00423453" w:rsidP="00947EE9">
            <w:pPr>
              <w:jc w:val="center"/>
              <w:rPr>
                <w:lang w:eastAsia="en-US"/>
              </w:rPr>
            </w:pPr>
            <w:r w:rsidRPr="00B34D7D">
              <w:rPr>
                <w:lang w:eastAsia="en-US"/>
              </w:rPr>
              <w:t>102,0</w:t>
            </w:r>
          </w:p>
        </w:tc>
      </w:tr>
      <w:tr w:rsidR="00423453" w:rsidRPr="00B34D7D" w:rsidTr="004C25E3">
        <w:tc>
          <w:tcPr>
            <w:tcW w:w="3402" w:type="dxa"/>
            <w:tcBorders>
              <w:top w:val="single" w:sz="4" w:space="0" w:color="auto"/>
              <w:left w:val="single" w:sz="4" w:space="0" w:color="auto"/>
              <w:bottom w:val="single" w:sz="4" w:space="0" w:color="auto"/>
              <w:right w:val="single" w:sz="4" w:space="0" w:color="auto"/>
            </w:tcBorders>
          </w:tcPr>
          <w:p w:rsidR="00423453" w:rsidRPr="00B34D7D" w:rsidRDefault="00423453" w:rsidP="00947EE9">
            <w:pPr>
              <w:rPr>
                <w:lang w:eastAsia="en-US"/>
              </w:rPr>
            </w:pPr>
            <w:r w:rsidRPr="00B34D7D">
              <w:rPr>
                <w:lang w:eastAsia="en-US"/>
              </w:rPr>
              <w:t>Індекс будівельної продукції,%</w:t>
            </w:r>
          </w:p>
        </w:tc>
        <w:tc>
          <w:tcPr>
            <w:tcW w:w="851" w:type="dxa"/>
            <w:tcBorders>
              <w:top w:val="single" w:sz="4" w:space="0" w:color="auto"/>
              <w:left w:val="single" w:sz="4" w:space="0" w:color="auto"/>
              <w:bottom w:val="single" w:sz="4" w:space="0" w:color="auto"/>
              <w:right w:val="single" w:sz="4" w:space="0" w:color="auto"/>
            </w:tcBorders>
          </w:tcPr>
          <w:p w:rsidR="00423453" w:rsidRPr="00B34D7D" w:rsidRDefault="00423453" w:rsidP="00947EE9">
            <w:pPr>
              <w:jc w:val="center"/>
              <w:rPr>
                <w:lang w:eastAsia="en-US"/>
              </w:rPr>
            </w:pPr>
            <w:r w:rsidRPr="00B34D7D">
              <w:rPr>
                <w:lang w:eastAsia="en-US"/>
              </w:rPr>
              <w:t>94,6</w:t>
            </w:r>
          </w:p>
        </w:tc>
        <w:tc>
          <w:tcPr>
            <w:tcW w:w="850" w:type="dxa"/>
            <w:tcBorders>
              <w:top w:val="single" w:sz="4" w:space="0" w:color="auto"/>
              <w:left w:val="single" w:sz="4" w:space="0" w:color="auto"/>
              <w:bottom w:val="single" w:sz="4" w:space="0" w:color="auto"/>
              <w:right w:val="single" w:sz="4" w:space="0" w:color="auto"/>
            </w:tcBorders>
          </w:tcPr>
          <w:p w:rsidR="00423453" w:rsidRPr="00B34D7D" w:rsidRDefault="00423453" w:rsidP="00947EE9">
            <w:pPr>
              <w:jc w:val="center"/>
              <w:rPr>
                <w:lang w:eastAsia="en-US"/>
              </w:rPr>
            </w:pPr>
            <w:r w:rsidRPr="00B34D7D">
              <w:rPr>
                <w:lang w:eastAsia="en-US"/>
              </w:rPr>
              <w:t>111,1</w:t>
            </w:r>
          </w:p>
        </w:tc>
        <w:tc>
          <w:tcPr>
            <w:tcW w:w="851" w:type="dxa"/>
            <w:tcBorders>
              <w:top w:val="single" w:sz="4" w:space="0" w:color="auto"/>
              <w:left w:val="single" w:sz="4" w:space="0" w:color="auto"/>
              <w:bottom w:val="single" w:sz="4" w:space="0" w:color="auto"/>
              <w:right w:val="single" w:sz="4" w:space="0" w:color="auto"/>
            </w:tcBorders>
          </w:tcPr>
          <w:p w:rsidR="00423453" w:rsidRPr="00B34D7D" w:rsidRDefault="00423453" w:rsidP="00947EE9">
            <w:pPr>
              <w:jc w:val="center"/>
              <w:rPr>
                <w:lang w:eastAsia="en-US"/>
              </w:rPr>
            </w:pPr>
            <w:r w:rsidRPr="00B34D7D">
              <w:rPr>
                <w:lang w:eastAsia="en-US"/>
              </w:rPr>
              <w:t>91,7</w:t>
            </w:r>
          </w:p>
        </w:tc>
        <w:tc>
          <w:tcPr>
            <w:tcW w:w="850" w:type="dxa"/>
            <w:tcBorders>
              <w:top w:val="single" w:sz="4" w:space="0" w:color="auto"/>
              <w:left w:val="single" w:sz="4" w:space="0" w:color="auto"/>
              <w:bottom w:val="single" w:sz="4" w:space="0" w:color="auto"/>
              <w:right w:val="single" w:sz="4" w:space="0" w:color="auto"/>
            </w:tcBorders>
          </w:tcPr>
          <w:p w:rsidR="00423453" w:rsidRPr="00B34D7D" w:rsidRDefault="00423453" w:rsidP="00947EE9">
            <w:pPr>
              <w:jc w:val="center"/>
              <w:rPr>
                <w:lang w:eastAsia="en-US"/>
              </w:rPr>
            </w:pPr>
            <w:r w:rsidRPr="00B34D7D">
              <w:rPr>
                <w:lang w:eastAsia="en-US"/>
              </w:rPr>
              <w:t>85,5</w:t>
            </w:r>
          </w:p>
        </w:tc>
        <w:tc>
          <w:tcPr>
            <w:tcW w:w="851" w:type="dxa"/>
            <w:tcBorders>
              <w:top w:val="single" w:sz="4" w:space="0" w:color="auto"/>
              <w:left w:val="single" w:sz="4" w:space="0" w:color="auto"/>
              <w:bottom w:val="single" w:sz="4" w:space="0" w:color="auto"/>
              <w:right w:val="single" w:sz="4" w:space="0" w:color="auto"/>
            </w:tcBorders>
          </w:tcPr>
          <w:p w:rsidR="00423453" w:rsidRPr="00B34D7D" w:rsidRDefault="00423453" w:rsidP="00947EE9">
            <w:pPr>
              <w:jc w:val="center"/>
              <w:rPr>
                <w:lang w:eastAsia="en-US"/>
              </w:rPr>
            </w:pPr>
            <w:r w:rsidRPr="00B34D7D">
              <w:rPr>
                <w:lang w:eastAsia="en-US"/>
              </w:rPr>
              <w:t>79,6</w:t>
            </w:r>
          </w:p>
        </w:tc>
        <w:tc>
          <w:tcPr>
            <w:tcW w:w="850" w:type="dxa"/>
            <w:tcBorders>
              <w:top w:val="single" w:sz="4" w:space="0" w:color="auto"/>
              <w:left w:val="single" w:sz="4" w:space="0" w:color="auto"/>
              <w:bottom w:val="single" w:sz="4" w:space="0" w:color="auto"/>
              <w:right w:val="single" w:sz="4" w:space="0" w:color="auto"/>
            </w:tcBorders>
          </w:tcPr>
          <w:p w:rsidR="00423453" w:rsidRPr="00B34D7D" w:rsidRDefault="00423453" w:rsidP="00947EE9">
            <w:pPr>
              <w:jc w:val="center"/>
              <w:rPr>
                <w:lang w:eastAsia="en-US"/>
              </w:rPr>
            </w:pPr>
            <w:r w:rsidRPr="00B34D7D">
              <w:rPr>
                <w:lang w:eastAsia="en-US"/>
              </w:rPr>
              <w:t>85,1</w:t>
            </w:r>
          </w:p>
        </w:tc>
        <w:tc>
          <w:tcPr>
            <w:tcW w:w="1052" w:type="dxa"/>
            <w:tcBorders>
              <w:top w:val="single" w:sz="4" w:space="0" w:color="auto"/>
              <w:left w:val="single" w:sz="4" w:space="0" w:color="auto"/>
              <w:bottom w:val="single" w:sz="4" w:space="0" w:color="auto"/>
              <w:right w:val="single" w:sz="4" w:space="0" w:color="auto"/>
            </w:tcBorders>
          </w:tcPr>
          <w:p w:rsidR="00423453" w:rsidRPr="00B34D7D" w:rsidRDefault="00423453" w:rsidP="00947EE9">
            <w:pPr>
              <w:jc w:val="center"/>
              <w:rPr>
                <w:lang w:eastAsia="en-US"/>
              </w:rPr>
            </w:pPr>
            <w:r w:rsidRPr="00B34D7D">
              <w:rPr>
                <w:lang w:eastAsia="en-US"/>
              </w:rPr>
              <w:t>109,1</w:t>
            </w:r>
          </w:p>
        </w:tc>
      </w:tr>
      <w:tr w:rsidR="00423453" w:rsidRPr="00B34D7D" w:rsidTr="004C25E3">
        <w:tc>
          <w:tcPr>
            <w:tcW w:w="3402" w:type="dxa"/>
            <w:tcBorders>
              <w:top w:val="single" w:sz="4" w:space="0" w:color="auto"/>
              <w:left w:val="single" w:sz="4" w:space="0" w:color="auto"/>
              <w:bottom w:val="single" w:sz="4" w:space="0" w:color="auto"/>
              <w:right w:val="single" w:sz="4" w:space="0" w:color="auto"/>
            </w:tcBorders>
          </w:tcPr>
          <w:p w:rsidR="00423453" w:rsidRPr="00B34D7D" w:rsidRDefault="00423453" w:rsidP="00947EE9">
            <w:pPr>
              <w:rPr>
                <w:lang w:eastAsia="en-US"/>
              </w:rPr>
            </w:pPr>
            <w:r w:rsidRPr="00B34D7D">
              <w:rPr>
                <w:lang w:eastAsia="en-US"/>
              </w:rPr>
              <w:t>Вантажооборот,%</w:t>
            </w:r>
          </w:p>
        </w:tc>
        <w:tc>
          <w:tcPr>
            <w:tcW w:w="851" w:type="dxa"/>
            <w:tcBorders>
              <w:top w:val="single" w:sz="4" w:space="0" w:color="auto"/>
              <w:left w:val="single" w:sz="4" w:space="0" w:color="auto"/>
              <w:bottom w:val="single" w:sz="4" w:space="0" w:color="auto"/>
              <w:right w:val="single" w:sz="4" w:space="0" w:color="auto"/>
            </w:tcBorders>
          </w:tcPr>
          <w:p w:rsidR="00423453" w:rsidRPr="00B34D7D" w:rsidRDefault="00423453" w:rsidP="00947EE9">
            <w:pPr>
              <w:jc w:val="center"/>
              <w:rPr>
                <w:lang w:eastAsia="en-US"/>
              </w:rPr>
            </w:pPr>
            <w:r w:rsidRPr="00B34D7D">
              <w:rPr>
                <w:lang w:eastAsia="en-US"/>
              </w:rPr>
              <w:t>106,1</w:t>
            </w:r>
          </w:p>
        </w:tc>
        <w:tc>
          <w:tcPr>
            <w:tcW w:w="850" w:type="dxa"/>
            <w:tcBorders>
              <w:top w:val="single" w:sz="4" w:space="0" w:color="auto"/>
              <w:left w:val="single" w:sz="4" w:space="0" w:color="auto"/>
              <w:bottom w:val="single" w:sz="4" w:space="0" w:color="auto"/>
              <w:right w:val="single" w:sz="4" w:space="0" w:color="auto"/>
            </w:tcBorders>
          </w:tcPr>
          <w:p w:rsidR="00423453" w:rsidRPr="00B34D7D" w:rsidRDefault="00423453" w:rsidP="00947EE9">
            <w:pPr>
              <w:jc w:val="center"/>
              <w:rPr>
                <w:lang w:eastAsia="en-US"/>
              </w:rPr>
            </w:pPr>
            <w:r w:rsidRPr="00B34D7D">
              <w:rPr>
                <w:lang w:eastAsia="en-US"/>
              </w:rPr>
              <w:t>105,7</w:t>
            </w:r>
          </w:p>
        </w:tc>
        <w:tc>
          <w:tcPr>
            <w:tcW w:w="851" w:type="dxa"/>
            <w:tcBorders>
              <w:top w:val="single" w:sz="4" w:space="0" w:color="auto"/>
              <w:left w:val="single" w:sz="4" w:space="0" w:color="auto"/>
              <w:bottom w:val="single" w:sz="4" w:space="0" w:color="auto"/>
              <w:right w:val="single" w:sz="4" w:space="0" w:color="auto"/>
            </w:tcBorders>
          </w:tcPr>
          <w:p w:rsidR="00423453" w:rsidRPr="00B34D7D" w:rsidRDefault="00423453" w:rsidP="00947EE9">
            <w:pPr>
              <w:jc w:val="center"/>
              <w:rPr>
                <w:lang w:eastAsia="en-US"/>
              </w:rPr>
            </w:pPr>
            <w:r w:rsidRPr="00B34D7D">
              <w:rPr>
                <w:lang w:eastAsia="en-US"/>
              </w:rPr>
              <w:t>92,4</w:t>
            </w:r>
          </w:p>
        </w:tc>
        <w:tc>
          <w:tcPr>
            <w:tcW w:w="850" w:type="dxa"/>
            <w:tcBorders>
              <w:top w:val="single" w:sz="4" w:space="0" w:color="auto"/>
              <w:left w:val="single" w:sz="4" w:space="0" w:color="auto"/>
              <w:bottom w:val="single" w:sz="4" w:space="0" w:color="auto"/>
              <w:right w:val="single" w:sz="4" w:space="0" w:color="auto"/>
            </w:tcBorders>
          </w:tcPr>
          <w:p w:rsidR="00423453" w:rsidRPr="00B34D7D" w:rsidRDefault="00423453" w:rsidP="00947EE9">
            <w:pPr>
              <w:jc w:val="center"/>
              <w:rPr>
                <w:lang w:eastAsia="en-US"/>
              </w:rPr>
            </w:pPr>
            <w:r w:rsidRPr="00B34D7D">
              <w:rPr>
                <w:lang w:eastAsia="en-US"/>
              </w:rPr>
              <w:t>96,1</w:t>
            </w:r>
          </w:p>
        </w:tc>
        <w:tc>
          <w:tcPr>
            <w:tcW w:w="851" w:type="dxa"/>
            <w:tcBorders>
              <w:top w:val="single" w:sz="4" w:space="0" w:color="auto"/>
              <w:left w:val="single" w:sz="4" w:space="0" w:color="auto"/>
              <w:bottom w:val="single" w:sz="4" w:space="0" w:color="auto"/>
              <w:right w:val="single" w:sz="4" w:space="0" w:color="auto"/>
            </w:tcBorders>
          </w:tcPr>
          <w:p w:rsidR="00423453" w:rsidRPr="00B34D7D" w:rsidRDefault="00423453" w:rsidP="00947EE9">
            <w:pPr>
              <w:jc w:val="center"/>
              <w:rPr>
                <w:lang w:eastAsia="en-US"/>
              </w:rPr>
            </w:pPr>
            <w:r w:rsidRPr="00B34D7D">
              <w:rPr>
                <w:lang w:eastAsia="en-US"/>
              </w:rPr>
              <w:t>79,6</w:t>
            </w:r>
          </w:p>
        </w:tc>
        <w:tc>
          <w:tcPr>
            <w:tcW w:w="850" w:type="dxa"/>
            <w:tcBorders>
              <w:top w:val="single" w:sz="4" w:space="0" w:color="auto"/>
              <w:left w:val="single" w:sz="4" w:space="0" w:color="auto"/>
              <w:bottom w:val="single" w:sz="4" w:space="0" w:color="auto"/>
              <w:right w:val="single" w:sz="4" w:space="0" w:color="auto"/>
            </w:tcBorders>
          </w:tcPr>
          <w:p w:rsidR="00423453" w:rsidRPr="00B34D7D" w:rsidRDefault="00423453" w:rsidP="00947EE9">
            <w:pPr>
              <w:jc w:val="center"/>
              <w:rPr>
                <w:lang w:eastAsia="en-US"/>
              </w:rPr>
            </w:pPr>
            <w:r w:rsidRPr="00B34D7D">
              <w:rPr>
                <w:lang w:eastAsia="en-US"/>
              </w:rPr>
              <w:t>85,1</w:t>
            </w:r>
          </w:p>
        </w:tc>
        <w:tc>
          <w:tcPr>
            <w:tcW w:w="1052" w:type="dxa"/>
            <w:tcBorders>
              <w:top w:val="single" w:sz="4" w:space="0" w:color="auto"/>
              <w:left w:val="single" w:sz="4" w:space="0" w:color="auto"/>
              <w:bottom w:val="single" w:sz="4" w:space="0" w:color="auto"/>
              <w:right w:val="single" w:sz="4" w:space="0" w:color="auto"/>
            </w:tcBorders>
          </w:tcPr>
          <w:p w:rsidR="00423453" w:rsidRPr="00B34D7D" w:rsidRDefault="00423453" w:rsidP="00947EE9">
            <w:pPr>
              <w:jc w:val="center"/>
              <w:rPr>
                <w:lang w:eastAsia="en-US"/>
              </w:rPr>
            </w:pPr>
            <w:r w:rsidRPr="00B34D7D">
              <w:rPr>
                <w:lang w:eastAsia="en-US"/>
              </w:rPr>
              <w:t>102,4</w:t>
            </w:r>
          </w:p>
        </w:tc>
      </w:tr>
      <w:tr w:rsidR="00423453" w:rsidRPr="00B34D7D" w:rsidTr="004C25E3">
        <w:tc>
          <w:tcPr>
            <w:tcW w:w="3402" w:type="dxa"/>
            <w:tcBorders>
              <w:top w:val="single" w:sz="4" w:space="0" w:color="auto"/>
              <w:left w:val="single" w:sz="4" w:space="0" w:color="auto"/>
              <w:bottom w:val="single" w:sz="4" w:space="0" w:color="auto"/>
              <w:right w:val="single" w:sz="4" w:space="0" w:color="auto"/>
            </w:tcBorders>
          </w:tcPr>
          <w:p w:rsidR="00423453" w:rsidRPr="00B34D7D" w:rsidRDefault="00423453" w:rsidP="00947EE9">
            <w:pPr>
              <w:rPr>
                <w:lang w:eastAsia="en-US"/>
              </w:rPr>
            </w:pPr>
            <w:r w:rsidRPr="00B34D7D">
              <w:rPr>
                <w:lang w:eastAsia="en-US"/>
              </w:rPr>
              <w:t>Пасажирооборот,%</w:t>
            </w:r>
          </w:p>
        </w:tc>
        <w:tc>
          <w:tcPr>
            <w:tcW w:w="851" w:type="dxa"/>
            <w:tcBorders>
              <w:top w:val="single" w:sz="4" w:space="0" w:color="auto"/>
              <w:left w:val="single" w:sz="4" w:space="0" w:color="auto"/>
              <w:bottom w:val="single" w:sz="4" w:space="0" w:color="auto"/>
              <w:right w:val="single" w:sz="4" w:space="0" w:color="auto"/>
            </w:tcBorders>
          </w:tcPr>
          <w:p w:rsidR="00423453" w:rsidRPr="00B34D7D" w:rsidRDefault="00423453" w:rsidP="00947EE9">
            <w:pPr>
              <w:jc w:val="center"/>
              <w:rPr>
                <w:lang w:eastAsia="en-US"/>
              </w:rPr>
            </w:pPr>
            <w:r w:rsidRPr="00B34D7D">
              <w:rPr>
                <w:lang w:eastAsia="en-US"/>
              </w:rPr>
              <w:t>100,0</w:t>
            </w:r>
          </w:p>
        </w:tc>
        <w:tc>
          <w:tcPr>
            <w:tcW w:w="850" w:type="dxa"/>
            <w:tcBorders>
              <w:top w:val="single" w:sz="4" w:space="0" w:color="auto"/>
              <w:left w:val="single" w:sz="4" w:space="0" w:color="auto"/>
              <w:bottom w:val="single" w:sz="4" w:space="0" w:color="auto"/>
              <w:right w:val="single" w:sz="4" w:space="0" w:color="auto"/>
            </w:tcBorders>
          </w:tcPr>
          <w:p w:rsidR="00423453" w:rsidRPr="00B34D7D" w:rsidRDefault="00423453" w:rsidP="00947EE9">
            <w:pPr>
              <w:jc w:val="center"/>
              <w:rPr>
                <w:lang w:eastAsia="en-US"/>
              </w:rPr>
            </w:pPr>
            <w:r w:rsidRPr="00B34D7D">
              <w:rPr>
                <w:lang w:eastAsia="en-US"/>
              </w:rPr>
              <w:t>103,3</w:t>
            </w:r>
          </w:p>
        </w:tc>
        <w:tc>
          <w:tcPr>
            <w:tcW w:w="851" w:type="dxa"/>
            <w:tcBorders>
              <w:top w:val="single" w:sz="4" w:space="0" w:color="auto"/>
              <w:left w:val="single" w:sz="4" w:space="0" w:color="auto"/>
              <w:bottom w:val="single" w:sz="4" w:space="0" w:color="auto"/>
              <w:right w:val="single" w:sz="4" w:space="0" w:color="auto"/>
            </w:tcBorders>
          </w:tcPr>
          <w:p w:rsidR="00423453" w:rsidRPr="00B34D7D" w:rsidRDefault="00423453" w:rsidP="00947EE9">
            <w:pPr>
              <w:jc w:val="center"/>
              <w:rPr>
                <w:lang w:eastAsia="en-US"/>
              </w:rPr>
            </w:pPr>
            <w:r w:rsidRPr="00B34D7D">
              <w:rPr>
                <w:lang w:eastAsia="en-US"/>
              </w:rPr>
              <w:t>98,7</w:t>
            </w:r>
          </w:p>
        </w:tc>
        <w:tc>
          <w:tcPr>
            <w:tcW w:w="850" w:type="dxa"/>
            <w:tcBorders>
              <w:top w:val="single" w:sz="4" w:space="0" w:color="auto"/>
              <w:left w:val="single" w:sz="4" w:space="0" w:color="auto"/>
              <w:bottom w:val="single" w:sz="4" w:space="0" w:color="auto"/>
              <w:right w:val="single" w:sz="4" w:space="0" w:color="auto"/>
            </w:tcBorders>
          </w:tcPr>
          <w:p w:rsidR="00423453" w:rsidRPr="00B34D7D" w:rsidRDefault="00423453" w:rsidP="00947EE9">
            <w:pPr>
              <w:jc w:val="center"/>
              <w:rPr>
                <w:lang w:eastAsia="en-US"/>
              </w:rPr>
            </w:pPr>
            <w:r w:rsidRPr="00B34D7D">
              <w:rPr>
                <w:lang w:eastAsia="en-US"/>
              </w:rPr>
              <w:t>97,1</w:t>
            </w:r>
          </w:p>
        </w:tc>
        <w:tc>
          <w:tcPr>
            <w:tcW w:w="851" w:type="dxa"/>
            <w:tcBorders>
              <w:top w:val="single" w:sz="4" w:space="0" w:color="auto"/>
              <w:left w:val="single" w:sz="4" w:space="0" w:color="auto"/>
              <w:bottom w:val="single" w:sz="4" w:space="0" w:color="auto"/>
              <w:right w:val="single" w:sz="4" w:space="0" w:color="auto"/>
            </w:tcBorders>
          </w:tcPr>
          <w:p w:rsidR="00423453" w:rsidRPr="00B34D7D" w:rsidRDefault="00423453" w:rsidP="00947EE9">
            <w:pPr>
              <w:jc w:val="center"/>
              <w:rPr>
                <w:lang w:eastAsia="en-US"/>
              </w:rPr>
            </w:pPr>
            <w:r w:rsidRPr="00B34D7D">
              <w:rPr>
                <w:lang w:eastAsia="en-US"/>
              </w:rPr>
              <w:t>88,5</w:t>
            </w:r>
          </w:p>
        </w:tc>
        <w:tc>
          <w:tcPr>
            <w:tcW w:w="850" w:type="dxa"/>
            <w:tcBorders>
              <w:top w:val="single" w:sz="4" w:space="0" w:color="auto"/>
              <w:left w:val="single" w:sz="4" w:space="0" w:color="auto"/>
              <w:bottom w:val="single" w:sz="4" w:space="0" w:color="auto"/>
              <w:right w:val="single" w:sz="4" w:space="0" w:color="auto"/>
            </w:tcBorders>
          </w:tcPr>
          <w:p w:rsidR="00423453" w:rsidRPr="00B34D7D" w:rsidRDefault="00423453" w:rsidP="00947EE9">
            <w:pPr>
              <w:jc w:val="center"/>
              <w:rPr>
                <w:lang w:eastAsia="en-US"/>
              </w:rPr>
            </w:pPr>
            <w:r w:rsidRPr="00B34D7D">
              <w:rPr>
                <w:lang w:eastAsia="en-US"/>
              </w:rPr>
              <w:t>91,5</w:t>
            </w:r>
          </w:p>
        </w:tc>
        <w:tc>
          <w:tcPr>
            <w:tcW w:w="1052" w:type="dxa"/>
            <w:tcBorders>
              <w:top w:val="single" w:sz="4" w:space="0" w:color="auto"/>
              <w:left w:val="single" w:sz="4" w:space="0" w:color="auto"/>
              <w:bottom w:val="single" w:sz="4" w:space="0" w:color="auto"/>
              <w:right w:val="single" w:sz="4" w:space="0" w:color="auto"/>
            </w:tcBorders>
          </w:tcPr>
          <w:p w:rsidR="00423453" w:rsidRPr="00B34D7D" w:rsidRDefault="00423453" w:rsidP="00947EE9">
            <w:pPr>
              <w:jc w:val="center"/>
              <w:rPr>
                <w:lang w:eastAsia="en-US"/>
              </w:rPr>
            </w:pPr>
            <w:r w:rsidRPr="00B34D7D">
              <w:rPr>
                <w:lang w:eastAsia="en-US"/>
              </w:rPr>
              <w:t>102,9</w:t>
            </w:r>
          </w:p>
        </w:tc>
      </w:tr>
      <w:tr w:rsidR="00423453" w:rsidRPr="00B34D7D" w:rsidTr="004C25E3">
        <w:tc>
          <w:tcPr>
            <w:tcW w:w="3402" w:type="dxa"/>
            <w:tcBorders>
              <w:top w:val="single" w:sz="4" w:space="0" w:color="auto"/>
              <w:left w:val="single" w:sz="4" w:space="0" w:color="auto"/>
              <w:bottom w:val="single" w:sz="4" w:space="0" w:color="auto"/>
              <w:right w:val="single" w:sz="4" w:space="0" w:color="auto"/>
            </w:tcBorders>
          </w:tcPr>
          <w:p w:rsidR="00423453" w:rsidRPr="00B34D7D" w:rsidRDefault="00423453" w:rsidP="00947EE9">
            <w:pPr>
              <w:rPr>
                <w:lang w:eastAsia="en-US"/>
              </w:rPr>
            </w:pPr>
            <w:r w:rsidRPr="00B34D7D">
              <w:rPr>
                <w:lang w:eastAsia="en-US"/>
              </w:rPr>
              <w:t>Оборот роздрібної торгівлі, %</w:t>
            </w:r>
          </w:p>
        </w:tc>
        <w:tc>
          <w:tcPr>
            <w:tcW w:w="851" w:type="dxa"/>
            <w:tcBorders>
              <w:top w:val="single" w:sz="4" w:space="0" w:color="auto"/>
              <w:left w:val="single" w:sz="4" w:space="0" w:color="auto"/>
              <w:bottom w:val="single" w:sz="4" w:space="0" w:color="auto"/>
              <w:right w:val="single" w:sz="4" w:space="0" w:color="auto"/>
            </w:tcBorders>
          </w:tcPr>
          <w:p w:rsidR="00423453" w:rsidRPr="00B34D7D" w:rsidRDefault="00423453" w:rsidP="00947EE9">
            <w:pPr>
              <w:jc w:val="center"/>
              <w:rPr>
                <w:lang w:eastAsia="en-US"/>
              </w:rPr>
            </w:pPr>
            <w:r w:rsidRPr="00B34D7D">
              <w:rPr>
                <w:lang w:eastAsia="en-US"/>
              </w:rPr>
              <w:t>109,8</w:t>
            </w:r>
          </w:p>
        </w:tc>
        <w:tc>
          <w:tcPr>
            <w:tcW w:w="850" w:type="dxa"/>
            <w:tcBorders>
              <w:top w:val="single" w:sz="4" w:space="0" w:color="auto"/>
              <w:left w:val="single" w:sz="4" w:space="0" w:color="auto"/>
              <w:bottom w:val="single" w:sz="4" w:space="0" w:color="auto"/>
              <w:right w:val="single" w:sz="4" w:space="0" w:color="auto"/>
            </w:tcBorders>
          </w:tcPr>
          <w:p w:rsidR="00423453" w:rsidRPr="00B34D7D" w:rsidRDefault="00423453" w:rsidP="00947EE9">
            <w:pPr>
              <w:jc w:val="center"/>
              <w:rPr>
                <w:lang w:eastAsia="en-US"/>
              </w:rPr>
            </w:pPr>
            <w:r w:rsidRPr="00B34D7D">
              <w:rPr>
                <w:lang w:eastAsia="en-US"/>
              </w:rPr>
              <w:t>114,7</w:t>
            </w:r>
          </w:p>
        </w:tc>
        <w:tc>
          <w:tcPr>
            <w:tcW w:w="851" w:type="dxa"/>
            <w:tcBorders>
              <w:top w:val="single" w:sz="4" w:space="0" w:color="auto"/>
              <w:left w:val="single" w:sz="4" w:space="0" w:color="auto"/>
              <w:bottom w:val="single" w:sz="4" w:space="0" w:color="auto"/>
              <w:right w:val="single" w:sz="4" w:space="0" w:color="auto"/>
            </w:tcBorders>
          </w:tcPr>
          <w:p w:rsidR="00423453" w:rsidRPr="00B34D7D" w:rsidRDefault="00423453" w:rsidP="00947EE9">
            <w:pPr>
              <w:jc w:val="center"/>
              <w:rPr>
                <w:lang w:eastAsia="en-US"/>
              </w:rPr>
            </w:pPr>
            <w:r w:rsidRPr="00B34D7D">
              <w:rPr>
                <w:lang w:eastAsia="en-US"/>
              </w:rPr>
              <w:t>115,0</w:t>
            </w:r>
          </w:p>
        </w:tc>
        <w:tc>
          <w:tcPr>
            <w:tcW w:w="850" w:type="dxa"/>
            <w:tcBorders>
              <w:top w:val="single" w:sz="4" w:space="0" w:color="auto"/>
              <w:left w:val="single" w:sz="4" w:space="0" w:color="auto"/>
              <w:bottom w:val="single" w:sz="4" w:space="0" w:color="auto"/>
              <w:right w:val="single" w:sz="4" w:space="0" w:color="auto"/>
            </w:tcBorders>
          </w:tcPr>
          <w:p w:rsidR="00423453" w:rsidRPr="00B34D7D" w:rsidRDefault="00423453" w:rsidP="00947EE9">
            <w:pPr>
              <w:jc w:val="center"/>
              <w:rPr>
                <w:lang w:eastAsia="en-US"/>
              </w:rPr>
            </w:pPr>
            <w:r w:rsidRPr="00B34D7D">
              <w:rPr>
                <w:lang w:eastAsia="en-US"/>
              </w:rPr>
              <w:t>109,5</w:t>
            </w:r>
          </w:p>
        </w:tc>
        <w:tc>
          <w:tcPr>
            <w:tcW w:w="851" w:type="dxa"/>
            <w:tcBorders>
              <w:top w:val="single" w:sz="4" w:space="0" w:color="auto"/>
              <w:left w:val="single" w:sz="4" w:space="0" w:color="auto"/>
              <w:bottom w:val="single" w:sz="4" w:space="0" w:color="auto"/>
              <w:right w:val="single" w:sz="4" w:space="0" w:color="auto"/>
            </w:tcBorders>
          </w:tcPr>
          <w:p w:rsidR="00423453" w:rsidRPr="00B34D7D" w:rsidRDefault="00423453" w:rsidP="00947EE9">
            <w:pPr>
              <w:jc w:val="center"/>
              <w:rPr>
                <w:lang w:eastAsia="en-US"/>
              </w:rPr>
            </w:pPr>
            <w:r w:rsidRPr="00B34D7D">
              <w:rPr>
                <w:lang w:eastAsia="en-US"/>
              </w:rPr>
              <w:t>91,1</w:t>
            </w:r>
          </w:p>
        </w:tc>
        <w:tc>
          <w:tcPr>
            <w:tcW w:w="850" w:type="dxa"/>
            <w:tcBorders>
              <w:top w:val="single" w:sz="4" w:space="0" w:color="auto"/>
              <w:left w:val="single" w:sz="4" w:space="0" w:color="auto"/>
              <w:bottom w:val="single" w:sz="4" w:space="0" w:color="auto"/>
              <w:right w:val="single" w:sz="4" w:space="0" w:color="auto"/>
            </w:tcBorders>
          </w:tcPr>
          <w:p w:rsidR="00423453" w:rsidRPr="00B34D7D" w:rsidRDefault="00423453" w:rsidP="00947EE9">
            <w:pPr>
              <w:jc w:val="center"/>
              <w:rPr>
                <w:lang w:eastAsia="en-US"/>
              </w:rPr>
            </w:pPr>
            <w:r w:rsidRPr="00B34D7D">
              <w:rPr>
                <w:lang w:eastAsia="en-US"/>
              </w:rPr>
              <w:t>79,3</w:t>
            </w:r>
          </w:p>
        </w:tc>
        <w:tc>
          <w:tcPr>
            <w:tcW w:w="1052" w:type="dxa"/>
            <w:tcBorders>
              <w:top w:val="single" w:sz="4" w:space="0" w:color="auto"/>
              <w:left w:val="single" w:sz="4" w:space="0" w:color="auto"/>
              <w:bottom w:val="single" w:sz="4" w:space="0" w:color="auto"/>
              <w:right w:val="single" w:sz="4" w:space="0" w:color="auto"/>
            </w:tcBorders>
          </w:tcPr>
          <w:p w:rsidR="00423453" w:rsidRPr="00B34D7D" w:rsidRDefault="00423453" w:rsidP="00947EE9">
            <w:pPr>
              <w:jc w:val="center"/>
              <w:rPr>
                <w:lang w:eastAsia="en-US"/>
              </w:rPr>
            </w:pPr>
            <w:r w:rsidRPr="00B34D7D">
              <w:rPr>
                <w:lang w:eastAsia="en-US"/>
              </w:rPr>
              <w:t>102,3</w:t>
            </w:r>
          </w:p>
        </w:tc>
      </w:tr>
      <w:tr w:rsidR="00423453" w:rsidRPr="00B34D7D" w:rsidTr="004C25E3">
        <w:tc>
          <w:tcPr>
            <w:tcW w:w="3402" w:type="dxa"/>
            <w:tcBorders>
              <w:top w:val="single" w:sz="4" w:space="0" w:color="auto"/>
              <w:left w:val="single" w:sz="4" w:space="0" w:color="auto"/>
              <w:bottom w:val="single" w:sz="4" w:space="0" w:color="auto"/>
              <w:right w:val="single" w:sz="4" w:space="0" w:color="auto"/>
            </w:tcBorders>
          </w:tcPr>
          <w:p w:rsidR="00423453" w:rsidRPr="00B34D7D" w:rsidRDefault="00423453" w:rsidP="00947EE9">
            <w:pPr>
              <w:rPr>
                <w:lang w:eastAsia="en-US"/>
              </w:rPr>
            </w:pPr>
            <w:r w:rsidRPr="00B34D7D">
              <w:rPr>
                <w:lang w:eastAsia="en-US"/>
              </w:rPr>
              <w:t>Експорт,%</w:t>
            </w:r>
          </w:p>
        </w:tc>
        <w:tc>
          <w:tcPr>
            <w:tcW w:w="851" w:type="dxa"/>
            <w:tcBorders>
              <w:top w:val="single" w:sz="4" w:space="0" w:color="auto"/>
              <w:left w:val="single" w:sz="4" w:space="0" w:color="auto"/>
              <w:bottom w:val="single" w:sz="4" w:space="0" w:color="auto"/>
              <w:right w:val="single" w:sz="4" w:space="0" w:color="auto"/>
            </w:tcBorders>
          </w:tcPr>
          <w:p w:rsidR="00423453" w:rsidRPr="00B34D7D" w:rsidRDefault="00423453" w:rsidP="00947EE9">
            <w:pPr>
              <w:jc w:val="center"/>
              <w:rPr>
                <w:lang w:eastAsia="en-US"/>
              </w:rPr>
            </w:pPr>
            <w:r w:rsidRPr="00B34D7D">
              <w:rPr>
                <w:lang w:eastAsia="en-US"/>
              </w:rPr>
              <w:t>128,1</w:t>
            </w:r>
          </w:p>
        </w:tc>
        <w:tc>
          <w:tcPr>
            <w:tcW w:w="850" w:type="dxa"/>
            <w:tcBorders>
              <w:top w:val="single" w:sz="4" w:space="0" w:color="auto"/>
              <w:left w:val="single" w:sz="4" w:space="0" w:color="auto"/>
              <w:bottom w:val="single" w:sz="4" w:space="0" w:color="auto"/>
              <w:right w:val="single" w:sz="4" w:space="0" w:color="auto"/>
            </w:tcBorders>
          </w:tcPr>
          <w:p w:rsidR="00423453" w:rsidRPr="00B34D7D" w:rsidRDefault="00423453" w:rsidP="00947EE9">
            <w:pPr>
              <w:jc w:val="center"/>
              <w:rPr>
                <w:lang w:eastAsia="en-US"/>
              </w:rPr>
            </w:pPr>
            <w:r w:rsidRPr="00B34D7D">
              <w:rPr>
                <w:lang w:eastAsia="en-US"/>
              </w:rPr>
              <w:t>130,3</w:t>
            </w:r>
          </w:p>
        </w:tc>
        <w:tc>
          <w:tcPr>
            <w:tcW w:w="851" w:type="dxa"/>
            <w:tcBorders>
              <w:top w:val="single" w:sz="4" w:space="0" w:color="auto"/>
              <w:left w:val="single" w:sz="4" w:space="0" w:color="auto"/>
              <w:bottom w:val="single" w:sz="4" w:space="0" w:color="auto"/>
              <w:right w:val="single" w:sz="4" w:space="0" w:color="auto"/>
            </w:tcBorders>
          </w:tcPr>
          <w:p w:rsidR="00423453" w:rsidRPr="00B34D7D" w:rsidRDefault="00423453" w:rsidP="00947EE9">
            <w:pPr>
              <w:jc w:val="center"/>
              <w:rPr>
                <w:lang w:eastAsia="en-US"/>
              </w:rPr>
            </w:pPr>
            <w:r w:rsidRPr="00B34D7D">
              <w:rPr>
                <w:lang w:eastAsia="en-US"/>
              </w:rPr>
              <w:t>99,9</w:t>
            </w:r>
          </w:p>
        </w:tc>
        <w:tc>
          <w:tcPr>
            <w:tcW w:w="850" w:type="dxa"/>
            <w:tcBorders>
              <w:top w:val="single" w:sz="4" w:space="0" w:color="auto"/>
              <w:left w:val="single" w:sz="4" w:space="0" w:color="auto"/>
              <w:bottom w:val="single" w:sz="4" w:space="0" w:color="auto"/>
              <w:right w:val="single" w:sz="4" w:space="0" w:color="auto"/>
            </w:tcBorders>
          </w:tcPr>
          <w:p w:rsidR="00423453" w:rsidRPr="00B34D7D" w:rsidRDefault="00423453" w:rsidP="00947EE9">
            <w:pPr>
              <w:jc w:val="center"/>
              <w:rPr>
                <w:lang w:eastAsia="en-US"/>
              </w:rPr>
            </w:pPr>
            <w:r w:rsidRPr="00B34D7D">
              <w:rPr>
                <w:lang w:eastAsia="en-US"/>
              </w:rPr>
              <w:t>92,5</w:t>
            </w:r>
          </w:p>
        </w:tc>
        <w:tc>
          <w:tcPr>
            <w:tcW w:w="851" w:type="dxa"/>
            <w:tcBorders>
              <w:top w:val="single" w:sz="4" w:space="0" w:color="auto"/>
              <w:left w:val="single" w:sz="4" w:space="0" w:color="auto"/>
              <w:bottom w:val="single" w:sz="4" w:space="0" w:color="auto"/>
              <w:right w:val="single" w:sz="4" w:space="0" w:color="auto"/>
            </w:tcBorders>
          </w:tcPr>
          <w:p w:rsidR="00423453" w:rsidRPr="00B34D7D" w:rsidRDefault="00423453" w:rsidP="00947EE9">
            <w:pPr>
              <w:jc w:val="center"/>
              <w:rPr>
                <w:lang w:eastAsia="en-US"/>
              </w:rPr>
            </w:pPr>
            <w:r w:rsidRPr="00B34D7D">
              <w:rPr>
                <w:lang w:eastAsia="en-US"/>
              </w:rPr>
              <w:t>85,7</w:t>
            </w:r>
          </w:p>
        </w:tc>
        <w:tc>
          <w:tcPr>
            <w:tcW w:w="850" w:type="dxa"/>
            <w:tcBorders>
              <w:top w:val="single" w:sz="4" w:space="0" w:color="auto"/>
              <w:left w:val="single" w:sz="4" w:space="0" w:color="auto"/>
              <w:bottom w:val="single" w:sz="4" w:space="0" w:color="auto"/>
              <w:right w:val="single" w:sz="4" w:space="0" w:color="auto"/>
            </w:tcBorders>
          </w:tcPr>
          <w:p w:rsidR="00423453" w:rsidRPr="00B34D7D" w:rsidRDefault="00423453" w:rsidP="00947EE9">
            <w:pPr>
              <w:jc w:val="center"/>
              <w:rPr>
                <w:lang w:eastAsia="en-US"/>
              </w:rPr>
            </w:pPr>
            <w:r w:rsidRPr="00B34D7D">
              <w:rPr>
                <w:lang w:eastAsia="en-US"/>
              </w:rPr>
              <w:t>72,9</w:t>
            </w:r>
          </w:p>
        </w:tc>
        <w:tc>
          <w:tcPr>
            <w:tcW w:w="1052" w:type="dxa"/>
            <w:tcBorders>
              <w:top w:val="single" w:sz="4" w:space="0" w:color="auto"/>
              <w:left w:val="single" w:sz="4" w:space="0" w:color="auto"/>
              <w:bottom w:val="single" w:sz="4" w:space="0" w:color="auto"/>
              <w:right w:val="single" w:sz="4" w:space="0" w:color="auto"/>
            </w:tcBorders>
          </w:tcPr>
          <w:p w:rsidR="00423453" w:rsidRPr="00B34D7D" w:rsidRDefault="00423453" w:rsidP="00947EE9">
            <w:pPr>
              <w:jc w:val="center"/>
              <w:rPr>
                <w:lang w:eastAsia="en-US"/>
              </w:rPr>
            </w:pPr>
            <w:r w:rsidRPr="00B34D7D">
              <w:rPr>
                <w:lang w:eastAsia="en-US"/>
              </w:rPr>
              <w:t>88,5</w:t>
            </w:r>
          </w:p>
        </w:tc>
      </w:tr>
      <w:tr w:rsidR="00423453" w:rsidRPr="00B34D7D" w:rsidTr="004C25E3">
        <w:tc>
          <w:tcPr>
            <w:tcW w:w="3402" w:type="dxa"/>
            <w:tcBorders>
              <w:top w:val="single" w:sz="4" w:space="0" w:color="auto"/>
              <w:left w:val="single" w:sz="4" w:space="0" w:color="auto"/>
              <w:bottom w:val="single" w:sz="4" w:space="0" w:color="auto"/>
              <w:right w:val="single" w:sz="4" w:space="0" w:color="auto"/>
            </w:tcBorders>
          </w:tcPr>
          <w:p w:rsidR="00423453" w:rsidRPr="00B34D7D" w:rsidRDefault="00423453" w:rsidP="00947EE9">
            <w:pPr>
              <w:rPr>
                <w:lang w:eastAsia="en-US"/>
              </w:rPr>
            </w:pPr>
            <w:r w:rsidRPr="00B34D7D">
              <w:rPr>
                <w:lang w:eastAsia="en-US"/>
              </w:rPr>
              <w:t>Імпорт,%</w:t>
            </w:r>
          </w:p>
        </w:tc>
        <w:tc>
          <w:tcPr>
            <w:tcW w:w="851" w:type="dxa"/>
            <w:tcBorders>
              <w:top w:val="single" w:sz="4" w:space="0" w:color="auto"/>
              <w:left w:val="single" w:sz="4" w:space="0" w:color="auto"/>
              <w:bottom w:val="single" w:sz="4" w:space="0" w:color="auto"/>
              <w:right w:val="single" w:sz="4" w:space="0" w:color="auto"/>
            </w:tcBorders>
          </w:tcPr>
          <w:p w:rsidR="00423453" w:rsidRPr="00B34D7D" w:rsidRDefault="00423453" w:rsidP="00947EE9">
            <w:pPr>
              <w:jc w:val="center"/>
              <w:rPr>
                <w:lang w:eastAsia="en-US"/>
              </w:rPr>
            </w:pPr>
            <w:r w:rsidRPr="00B34D7D">
              <w:rPr>
                <w:lang w:eastAsia="en-US"/>
              </w:rPr>
              <w:t>130,8</w:t>
            </w:r>
          </w:p>
        </w:tc>
        <w:tc>
          <w:tcPr>
            <w:tcW w:w="850" w:type="dxa"/>
            <w:tcBorders>
              <w:top w:val="single" w:sz="4" w:space="0" w:color="auto"/>
              <w:left w:val="single" w:sz="4" w:space="0" w:color="auto"/>
              <w:bottom w:val="single" w:sz="4" w:space="0" w:color="auto"/>
              <w:right w:val="single" w:sz="4" w:space="0" w:color="auto"/>
            </w:tcBorders>
          </w:tcPr>
          <w:p w:rsidR="00423453" w:rsidRPr="00B34D7D" w:rsidRDefault="00423453" w:rsidP="00947EE9">
            <w:pPr>
              <w:jc w:val="center"/>
              <w:rPr>
                <w:lang w:eastAsia="en-US"/>
              </w:rPr>
            </w:pPr>
            <w:r w:rsidRPr="00B34D7D">
              <w:rPr>
                <w:lang w:eastAsia="en-US"/>
              </w:rPr>
              <w:t>132,7</w:t>
            </w:r>
          </w:p>
        </w:tc>
        <w:tc>
          <w:tcPr>
            <w:tcW w:w="851" w:type="dxa"/>
            <w:tcBorders>
              <w:top w:val="single" w:sz="4" w:space="0" w:color="auto"/>
              <w:left w:val="single" w:sz="4" w:space="0" w:color="auto"/>
              <w:bottom w:val="single" w:sz="4" w:space="0" w:color="auto"/>
              <w:right w:val="single" w:sz="4" w:space="0" w:color="auto"/>
            </w:tcBorders>
          </w:tcPr>
          <w:p w:rsidR="00423453" w:rsidRPr="00B34D7D" w:rsidRDefault="00423453" w:rsidP="00947EE9">
            <w:pPr>
              <w:jc w:val="center"/>
              <w:rPr>
                <w:lang w:eastAsia="en-US"/>
              </w:rPr>
            </w:pPr>
            <w:r w:rsidRPr="00B34D7D">
              <w:rPr>
                <w:lang w:eastAsia="en-US"/>
              </w:rPr>
              <w:t>102,9</w:t>
            </w:r>
          </w:p>
        </w:tc>
        <w:tc>
          <w:tcPr>
            <w:tcW w:w="850" w:type="dxa"/>
            <w:tcBorders>
              <w:top w:val="single" w:sz="4" w:space="0" w:color="auto"/>
              <w:left w:val="single" w:sz="4" w:space="0" w:color="auto"/>
              <w:bottom w:val="single" w:sz="4" w:space="0" w:color="auto"/>
              <w:right w:val="single" w:sz="4" w:space="0" w:color="auto"/>
            </w:tcBorders>
          </w:tcPr>
          <w:p w:rsidR="00423453" w:rsidRPr="00B34D7D" w:rsidRDefault="00423453" w:rsidP="00947EE9">
            <w:pPr>
              <w:jc w:val="center"/>
              <w:rPr>
                <w:lang w:eastAsia="en-US"/>
              </w:rPr>
            </w:pPr>
            <w:r w:rsidRPr="00B34D7D">
              <w:rPr>
                <w:lang w:eastAsia="en-US"/>
              </w:rPr>
              <w:t>92,8</w:t>
            </w:r>
          </w:p>
        </w:tc>
        <w:tc>
          <w:tcPr>
            <w:tcW w:w="851" w:type="dxa"/>
            <w:tcBorders>
              <w:top w:val="single" w:sz="4" w:space="0" w:color="auto"/>
              <w:left w:val="single" w:sz="4" w:space="0" w:color="auto"/>
              <w:bottom w:val="single" w:sz="4" w:space="0" w:color="auto"/>
              <w:right w:val="single" w:sz="4" w:space="0" w:color="auto"/>
            </w:tcBorders>
          </w:tcPr>
          <w:p w:rsidR="00423453" w:rsidRPr="00B34D7D" w:rsidRDefault="00423453" w:rsidP="00947EE9">
            <w:pPr>
              <w:jc w:val="center"/>
              <w:rPr>
                <w:lang w:eastAsia="en-US"/>
              </w:rPr>
            </w:pPr>
            <w:r w:rsidRPr="00B34D7D">
              <w:rPr>
                <w:lang w:eastAsia="en-US"/>
              </w:rPr>
              <w:t>72,9</w:t>
            </w:r>
          </w:p>
        </w:tc>
        <w:tc>
          <w:tcPr>
            <w:tcW w:w="850" w:type="dxa"/>
            <w:tcBorders>
              <w:top w:val="single" w:sz="4" w:space="0" w:color="auto"/>
              <w:left w:val="single" w:sz="4" w:space="0" w:color="auto"/>
              <w:bottom w:val="single" w:sz="4" w:space="0" w:color="auto"/>
              <w:right w:val="single" w:sz="4" w:space="0" w:color="auto"/>
            </w:tcBorders>
          </w:tcPr>
          <w:p w:rsidR="00423453" w:rsidRPr="00B34D7D" w:rsidRDefault="00423453" w:rsidP="00947EE9">
            <w:pPr>
              <w:jc w:val="center"/>
              <w:rPr>
                <w:lang w:eastAsia="en-US"/>
              </w:rPr>
            </w:pPr>
            <w:r w:rsidRPr="00B34D7D">
              <w:rPr>
                <w:lang w:eastAsia="en-US"/>
              </w:rPr>
              <w:t>70,1</w:t>
            </w:r>
          </w:p>
        </w:tc>
        <w:tc>
          <w:tcPr>
            <w:tcW w:w="1052" w:type="dxa"/>
            <w:tcBorders>
              <w:top w:val="single" w:sz="4" w:space="0" w:color="auto"/>
              <w:left w:val="single" w:sz="4" w:space="0" w:color="auto"/>
              <w:bottom w:val="single" w:sz="4" w:space="0" w:color="auto"/>
              <w:right w:val="single" w:sz="4" w:space="0" w:color="auto"/>
            </w:tcBorders>
          </w:tcPr>
          <w:p w:rsidR="00423453" w:rsidRPr="00B34D7D" w:rsidRDefault="00423453" w:rsidP="00947EE9">
            <w:pPr>
              <w:jc w:val="center"/>
              <w:rPr>
                <w:lang w:eastAsia="en-US"/>
              </w:rPr>
            </w:pPr>
            <w:r w:rsidRPr="00B34D7D">
              <w:rPr>
                <w:lang w:eastAsia="en-US"/>
              </w:rPr>
              <w:t>93,8</w:t>
            </w:r>
          </w:p>
        </w:tc>
      </w:tr>
      <w:tr w:rsidR="00423453" w:rsidRPr="00B34D7D" w:rsidTr="004C25E3">
        <w:tc>
          <w:tcPr>
            <w:tcW w:w="3402" w:type="dxa"/>
            <w:tcBorders>
              <w:top w:val="single" w:sz="4" w:space="0" w:color="auto"/>
              <w:left w:val="single" w:sz="4" w:space="0" w:color="auto"/>
              <w:bottom w:val="single" w:sz="4" w:space="0" w:color="auto"/>
              <w:right w:val="single" w:sz="4" w:space="0" w:color="auto"/>
            </w:tcBorders>
          </w:tcPr>
          <w:p w:rsidR="00423453" w:rsidRPr="00B34D7D" w:rsidRDefault="00423453" w:rsidP="004C25E3">
            <w:pPr>
              <w:rPr>
                <w:lang w:eastAsia="en-US"/>
              </w:rPr>
            </w:pPr>
            <w:r w:rsidRPr="00B34D7D">
              <w:rPr>
                <w:lang w:eastAsia="en-US"/>
              </w:rPr>
              <w:t>Рівень безробіття (за методо</w:t>
            </w:r>
            <w:r w:rsidR="004C25E3" w:rsidRPr="004C25E3">
              <w:rPr>
                <w:lang w:val="ru-RU" w:eastAsia="en-US"/>
              </w:rPr>
              <w:t>-</w:t>
            </w:r>
            <w:r w:rsidRPr="00B34D7D">
              <w:rPr>
                <w:lang w:eastAsia="en-US"/>
              </w:rPr>
              <w:t>логією МОП)</w:t>
            </w:r>
            <w:r w:rsidR="004C25E3" w:rsidRPr="004C25E3">
              <w:rPr>
                <w:lang w:val="ru-RU" w:eastAsia="en-US"/>
              </w:rPr>
              <w:t xml:space="preserve"> </w:t>
            </w:r>
            <w:r w:rsidRPr="00B34D7D">
              <w:rPr>
                <w:lang w:eastAsia="en-US"/>
              </w:rPr>
              <w:t xml:space="preserve">серед населення працездатного віку </w:t>
            </w:r>
          </w:p>
        </w:tc>
        <w:tc>
          <w:tcPr>
            <w:tcW w:w="851" w:type="dxa"/>
            <w:tcBorders>
              <w:top w:val="single" w:sz="4" w:space="0" w:color="auto"/>
              <w:left w:val="single" w:sz="4" w:space="0" w:color="auto"/>
              <w:bottom w:val="single" w:sz="4" w:space="0" w:color="auto"/>
              <w:right w:val="single" w:sz="4" w:space="0" w:color="auto"/>
            </w:tcBorders>
          </w:tcPr>
          <w:p w:rsidR="00423453" w:rsidRPr="00B34D7D" w:rsidRDefault="00423453" w:rsidP="00947EE9">
            <w:pPr>
              <w:jc w:val="center"/>
              <w:rPr>
                <w:lang w:eastAsia="en-US"/>
              </w:rPr>
            </w:pPr>
            <w:r w:rsidRPr="00B34D7D">
              <w:rPr>
                <w:lang w:eastAsia="en-US"/>
              </w:rPr>
              <w:t>8,2</w:t>
            </w:r>
          </w:p>
        </w:tc>
        <w:tc>
          <w:tcPr>
            <w:tcW w:w="850" w:type="dxa"/>
            <w:tcBorders>
              <w:top w:val="single" w:sz="4" w:space="0" w:color="auto"/>
              <w:left w:val="single" w:sz="4" w:space="0" w:color="auto"/>
              <w:bottom w:val="single" w:sz="4" w:space="0" w:color="auto"/>
              <w:right w:val="single" w:sz="4" w:space="0" w:color="auto"/>
            </w:tcBorders>
          </w:tcPr>
          <w:p w:rsidR="00423453" w:rsidRPr="00B34D7D" w:rsidRDefault="00423453" w:rsidP="00947EE9">
            <w:pPr>
              <w:jc w:val="center"/>
              <w:rPr>
                <w:lang w:eastAsia="en-US"/>
              </w:rPr>
            </w:pPr>
            <w:r w:rsidRPr="00B34D7D">
              <w:rPr>
                <w:lang w:eastAsia="en-US"/>
              </w:rPr>
              <w:t>8,0</w:t>
            </w:r>
          </w:p>
        </w:tc>
        <w:tc>
          <w:tcPr>
            <w:tcW w:w="851" w:type="dxa"/>
            <w:tcBorders>
              <w:top w:val="single" w:sz="4" w:space="0" w:color="auto"/>
              <w:left w:val="single" w:sz="4" w:space="0" w:color="auto"/>
              <w:bottom w:val="single" w:sz="4" w:space="0" w:color="auto"/>
              <w:right w:val="single" w:sz="4" w:space="0" w:color="auto"/>
            </w:tcBorders>
          </w:tcPr>
          <w:p w:rsidR="00423453" w:rsidRPr="00B34D7D" w:rsidRDefault="00423453" w:rsidP="00947EE9">
            <w:pPr>
              <w:jc w:val="center"/>
              <w:rPr>
                <w:lang w:eastAsia="en-US"/>
              </w:rPr>
            </w:pPr>
            <w:r w:rsidRPr="00B34D7D">
              <w:rPr>
                <w:lang w:eastAsia="en-US"/>
              </w:rPr>
              <w:t>7,6</w:t>
            </w:r>
          </w:p>
        </w:tc>
        <w:tc>
          <w:tcPr>
            <w:tcW w:w="850" w:type="dxa"/>
            <w:tcBorders>
              <w:top w:val="single" w:sz="4" w:space="0" w:color="auto"/>
              <w:left w:val="single" w:sz="4" w:space="0" w:color="auto"/>
              <w:bottom w:val="single" w:sz="4" w:space="0" w:color="auto"/>
              <w:right w:val="single" w:sz="4" w:space="0" w:color="auto"/>
            </w:tcBorders>
          </w:tcPr>
          <w:p w:rsidR="00423453" w:rsidRPr="00B34D7D" w:rsidRDefault="00423453" w:rsidP="00947EE9">
            <w:pPr>
              <w:jc w:val="center"/>
              <w:rPr>
                <w:lang w:eastAsia="en-US"/>
              </w:rPr>
            </w:pPr>
            <w:r w:rsidRPr="00B34D7D">
              <w:rPr>
                <w:lang w:eastAsia="en-US"/>
              </w:rPr>
              <w:t>7,3</w:t>
            </w:r>
          </w:p>
        </w:tc>
        <w:tc>
          <w:tcPr>
            <w:tcW w:w="851" w:type="dxa"/>
            <w:tcBorders>
              <w:top w:val="single" w:sz="4" w:space="0" w:color="auto"/>
              <w:left w:val="single" w:sz="4" w:space="0" w:color="auto"/>
              <w:bottom w:val="single" w:sz="4" w:space="0" w:color="auto"/>
              <w:right w:val="single" w:sz="4" w:space="0" w:color="auto"/>
            </w:tcBorders>
          </w:tcPr>
          <w:p w:rsidR="00423453" w:rsidRPr="00B34D7D" w:rsidRDefault="00423453" w:rsidP="00947EE9">
            <w:pPr>
              <w:jc w:val="center"/>
              <w:rPr>
                <w:lang w:eastAsia="en-US"/>
              </w:rPr>
            </w:pPr>
            <w:r w:rsidRPr="00B34D7D">
              <w:rPr>
                <w:lang w:eastAsia="en-US"/>
              </w:rPr>
              <w:t>9,3</w:t>
            </w:r>
          </w:p>
        </w:tc>
        <w:tc>
          <w:tcPr>
            <w:tcW w:w="850" w:type="dxa"/>
            <w:tcBorders>
              <w:top w:val="single" w:sz="4" w:space="0" w:color="auto"/>
              <w:left w:val="single" w:sz="4" w:space="0" w:color="auto"/>
              <w:bottom w:val="single" w:sz="4" w:space="0" w:color="auto"/>
              <w:right w:val="single" w:sz="4" w:space="0" w:color="auto"/>
            </w:tcBorders>
          </w:tcPr>
          <w:p w:rsidR="00423453" w:rsidRPr="00B34D7D" w:rsidRDefault="00423453" w:rsidP="00947EE9">
            <w:pPr>
              <w:jc w:val="center"/>
              <w:rPr>
                <w:lang w:eastAsia="en-US"/>
              </w:rPr>
            </w:pPr>
            <w:r w:rsidRPr="00B34D7D">
              <w:rPr>
                <w:lang w:eastAsia="en-US"/>
              </w:rPr>
              <w:t>9,1</w:t>
            </w:r>
          </w:p>
        </w:tc>
        <w:tc>
          <w:tcPr>
            <w:tcW w:w="1052" w:type="dxa"/>
            <w:tcBorders>
              <w:top w:val="single" w:sz="4" w:space="0" w:color="auto"/>
              <w:left w:val="single" w:sz="4" w:space="0" w:color="auto"/>
              <w:bottom w:val="single" w:sz="4" w:space="0" w:color="auto"/>
              <w:right w:val="single" w:sz="4" w:space="0" w:color="auto"/>
            </w:tcBorders>
          </w:tcPr>
          <w:p w:rsidR="00423453" w:rsidRPr="00B34D7D" w:rsidRDefault="00423453" w:rsidP="00947EE9">
            <w:pPr>
              <w:jc w:val="center"/>
              <w:rPr>
                <w:lang w:eastAsia="en-US"/>
              </w:rPr>
            </w:pPr>
            <w:r w:rsidRPr="00B34D7D">
              <w:rPr>
                <w:lang w:eastAsia="en-US"/>
              </w:rPr>
              <w:t>9,8</w:t>
            </w:r>
          </w:p>
        </w:tc>
      </w:tr>
      <w:tr w:rsidR="00423453" w:rsidRPr="00B34D7D" w:rsidTr="004C25E3">
        <w:tc>
          <w:tcPr>
            <w:tcW w:w="3402" w:type="dxa"/>
            <w:tcBorders>
              <w:top w:val="single" w:sz="4" w:space="0" w:color="auto"/>
              <w:left w:val="single" w:sz="4" w:space="0" w:color="auto"/>
              <w:bottom w:val="single" w:sz="4" w:space="0" w:color="auto"/>
              <w:right w:val="single" w:sz="4" w:space="0" w:color="auto"/>
            </w:tcBorders>
          </w:tcPr>
          <w:p w:rsidR="00423453" w:rsidRPr="00B34D7D" w:rsidRDefault="00423453" w:rsidP="00947EE9">
            <w:pPr>
              <w:rPr>
                <w:lang w:eastAsia="en-US"/>
              </w:rPr>
            </w:pPr>
            <w:r w:rsidRPr="00B34D7D">
              <w:rPr>
                <w:lang w:eastAsia="en-US"/>
              </w:rPr>
              <w:t xml:space="preserve">Середньомісячна заробітна плата, </w:t>
            </w:r>
          </w:p>
          <w:p w:rsidR="00423453" w:rsidRPr="00B34D7D" w:rsidRDefault="00423453" w:rsidP="00947EE9">
            <w:pPr>
              <w:rPr>
                <w:lang w:eastAsia="en-US"/>
              </w:rPr>
            </w:pPr>
            <w:r w:rsidRPr="00B34D7D">
              <w:rPr>
                <w:lang w:eastAsia="en-US"/>
              </w:rPr>
              <w:t>номінальна, грн</w:t>
            </w:r>
          </w:p>
          <w:p w:rsidR="00423453" w:rsidRPr="00B34D7D" w:rsidRDefault="00423453" w:rsidP="00947EE9">
            <w:pPr>
              <w:rPr>
                <w:lang w:eastAsia="en-US"/>
              </w:rPr>
            </w:pPr>
            <w:r w:rsidRPr="00B34D7D">
              <w:rPr>
                <w:lang w:eastAsia="en-US"/>
              </w:rPr>
              <w:t>номінальна, $</w:t>
            </w:r>
          </w:p>
          <w:p w:rsidR="00423453" w:rsidRPr="00B34D7D" w:rsidRDefault="00423453" w:rsidP="00947EE9">
            <w:pPr>
              <w:rPr>
                <w:lang w:eastAsia="en-US"/>
              </w:rPr>
            </w:pPr>
            <w:r w:rsidRPr="00B34D7D">
              <w:rPr>
                <w:lang w:eastAsia="en-US"/>
              </w:rPr>
              <w:t>реальна, %</w:t>
            </w:r>
          </w:p>
        </w:tc>
        <w:tc>
          <w:tcPr>
            <w:tcW w:w="851" w:type="dxa"/>
            <w:tcBorders>
              <w:top w:val="single" w:sz="4" w:space="0" w:color="auto"/>
              <w:left w:val="single" w:sz="4" w:space="0" w:color="auto"/>
              <w:bottom w:val="single" w:sz="4" w:space="0" w:color="auto"/>
              <w:right w:val="single" w:sz="4" w:space="0" w:color="auto"/>
            </w:tcBorders>
          </w:tcPr>
          <w:p w:rsidR="00423453" w:rsidRPr="00B34D7D" w:rsidRDefault="00423453" w:rsidP="004C25E3">
            <w:pPr>
              <w:ind w:left="-57" w:right="-57"/>
              <w:jc w:val="center"/>
              <w:rPr>
                <w:lang w:eastAsia="en-US"/>
              </w:rPr>
            </w:pPr>
          </w:p>
          <w:p w:rsidR="00423453" w:rsidRPr="00B34D7D" w:rsidRDefault="00423453" w:rsidP="004C25E3">
            <w:pPr>
              <w:ind w:left="-57" w:right="-57"/>
              <w:jc w:val="center"/>
              <w:rPr>
                <w:lang w:eastAsia="en-US"/>
              </w:rPr>
            </w:pPr>
          </w:p>
          <w:p w:rsidR="00423453" w:rsidRPr="00B34D7D" w:rsidRDefault="00423453" w:rsidP="004C25E3">
            <w:pPr>
              <w:ind w:left="-57" w:right="-57"/>
              <w:jc w:val="center"/>
              <w:rPr>
                <w:lang w:eastAsia="en-US"/>
              </w:rPr>
            </w:pPr>
            <w:r w:rsidRPr="00B34D7D">
              <w:rPr>
                <w:lang w:eastAsia="en-US"/>
              </w:rPr>
              <w:t>2250</w:t>
            </w:r>
          </w:p>
          <w:p w:rsidR="00423453" w:rsidRPr="00B34D7D" w:rsidRDefault="00423453" w:rsidP="004C25E3">
            <w:pPr>
              <w:ind w:left="-57" w:right="-57"/>
              <w:jc w:val="center"/>
              <w:rPr>
                <w:lang w:eastAsia="en-US"/>
              </w:rPr>
            </w:pPr>
            <w:r w:rsidRPr="00B34D7D">
              <w:rPr>
                <w:lang w:eastAsia="en-US"/>
              </w:rPr>
              <w:t>283,53</w:t>
            </w:r>
          </w:p>
          <w:p w:rsidR="00423453" w:rsidRPr="00B34D7D" w:rsidRDefault="00423453" w:rsidP="004C25E3">
            <w:pPr>
              <w:ind w:left="-57" w:right="-57"/>
              <w:jc w:val="center"/>
              <w:rPr>
                <w:lang w:eastAsia="en-US"/>
              </w:rPr>
            </w:pPr>
            <w:r w:rsidRPr="00B34D7D">
              <w:rPr>
                <w:lang w:eastAsia="en-US"/>
              </w:rPr>
              <w:t>110,2</w:t>
            </w:r>
          </w:p>
        </w:tc>
        <w:tc>
          <w:tcPr>
            <w:tcW w:w="850" w:type="dxa"/>
            <w:tcBorders>
              <w:top w:val="single" w:sz="4" w:space="0" w:color="auto"/>
              <w:left w:val="single" w:sz="4" w:space="0" w:color="auto"/>
              <w:bottom w:val="single" w:sz="4" w:space="0" w:color="auto"/>
              <w:right w:val="single" w:sz="4" w:space="0" w:color="auto"/>
            </w:tcBorders>
          </w:tcPr>
          <w:p w:rsidR="00423453" w:rsidRPr="00B34D7D" w:rsidRDefault="00423453" w:rsidP="004C25E3">
            <w:pPr>
              <w:ind w:left="-57" w:right="-57"/>
              <w:jc w:val="center"/>
              <w:rPr>
                <w:lang w:eastAsia="en-US"/>
              </w:rPr>
            </w:pPr>
          </w:p>
          <w:p w:rsidR="00423453" w:rsidRPr="00B34D7D" w:rsidRDefault="00423453" w:rsidP="004C25E3">
            <w:pPr>
              <w:ind w:left="-57" w:right="-57"/>
              <w:jc w:val="center"/>
              <w:rPr>
                <w:lang w:eastAsia="en-US"/>
              </w:rPr>
            </w:pPr>
          </w:p>
          <w:p w:rsidR="00423453" w:rsidRPr="00B34D7D" w:rsidRDefault="00423453" w:rsidP="004C25E3">
            <w:pPr>
              <w:ind w:left="-57" w:right="-57"/>
              <w:jc w:val="center"/>
              <w:rPr>
                <w:lang w:eastAsia="en-US"/>
              </w:rPr>
            </w:pPr>
            <w:r w:rsidRPr="00B34D7D">
              <w:rPr>
                <w:lang w:eastAsia="en-US"/>
              </w:rPr>
              <w:t>2648</w:t>
            </w:r>
          </w:p>
          <w:p w:rsidR="00423453" w:rsidRPr="00B34D7D" w:rsidRDefault="00423453" w:rsidP="004C25E3">
            <w:pPr>
              <w:ind w:left="-57" w:right="-57"/>
              <w:jc w:val="center"/>
              <w:rPr>
                <w:lang w:eastAsia="en-US"/>
              </w:rPr>
            </w:pPr>
            <w:r w:rsidRPr="00B34D7D">
              <w:rPr>
                <w:lang w:eastAsia="en-US"/>
              </w:rPr>
              <w:t>332,35</w:t>
            </w:r>
          </w:p>
          <w:p w:rsidR="00423453" w:rsidRPr="00B34D7D" w:rsidRDefault="00423453" w:rsidP="004C25E3">
            <w:pPr>
              <w:ind w:left="-57" w:right="-57"/>
              <w:jc w:val="center"/>
              <w:rPr>
                <w:lang w:eastAsia="en-US"/>
              </w:rPr>
            </w:pPr>
            <w:r w:rsidRPr="00B34D7D">
              <w:rPr>
                <w:lang w:eastAsia="en-US"/>
              </w:rPr>
              <w:t>108,7</w:t>
            </w:r>
          </w:p>
        </w:tc>
        <w:tc>
          <w:tcPr>
            <w:tcW w:w="851" w:type="dxa"/>
            <w:tcBorders>
              <w:top w:val="single" w:sz="4" w:space="0" w:color="auto"/>
              <w:left w:val="single" w:sz="4" w:space="0" w:color="auto"/>
              <w:bottom w:val="single" w:sz="4" w:space="0" w:color="auto"/>
              <w:right w:val="single" w:sz="4" w:space="0" w:color="auto"/>
            </w:tcBorders>
          </w:tcPr>
          <w:p w:rsidR="00423453" w:rsidRPr="00B34D7D" w:rsidRDefault="00423453" w:rsidP="004C25E3">
            <w:pPr>
              <w:ind w:left="-57" w:right="-57"/>
              <w:jc w:val="center"/>
              <w:rPr>
                <w:lang w:eastAsia="en-US"/>
              </w:rPr>
            </w:pPr>
          </w:p>
          <w:p w:rsidR="00423453" w:rsidRPr="00B34D7D" w:rsidRDefault="00423453" w:rsidP="004C25E3">
            <w:pPr>
              <w:ind w:left="-57" w:right="-57"/>
              <w:jc w:val="center"/>
              <w:rPr>
                <w:lang w:eastAsia="en-US"/>
              </w:rPr>
            </w:pPr>
          </w:p>
          <w:p w:rsidR="00423453" w:rsidRPr="00B34D7D" w:rsidRDefault="00423453" w:rsidP="004C25E3">
            <w:pPr>
              <w:ind w:left="-57" w:right="-57"/>
              <w:jc w:val="center"/>
              <w:rPr>
                <w:lang w:eastAsia="en-US"/>
              </w:rPr>
            </w:pPr>
            <w:r w:rsidRPr="00B34D7D">
              <w:rPr>
                <w:lang w:eastAsia="en-US"/>
              </w:rPr>
              <w:t>3041</w:t>
            </w:r>
          </w:p>
          <w:p w:rsidR="00423453" w:rsidRPr="00B34D7D" w:rsidRDefault="00423453" w:rsidP="004C25E3">
            <w:pPr>
              <w:ind w:left="-57" w:right="-57"/>
              <w:jc w:val="center"/>
              <w:rPr>
                <w:lang w:eastAsia="en-US"/>
              </w:rPr>
            </w:pPr>
            <w:r w:rsidRPr="00B34D7D">
              <w:rPr>
                <w:lang w:eastAsia="en-US"/>
              </w:rPr>
              <w:t>380,55</w:t>
            </w:r>
          </w:p>
          <w:p w:rsidR="00423453" w:rsidRPr="00B34D7D" w:rsidRDefault="00423453" w:rsidP="004C25E3">
            <w:pPr>
              <w:ind w:left="-57" w:right="-57"/>
              <w:jc w:val="center"/>
              <w:rPr>
                <w:lang w:eastAsia="en-US"/>
              </w:rPr>
            </w:pPr>
            <w:r w:rsidRPr="00B34D7D">
              <w:rPr>
                <w:lang w:eastAsia="en-US"/>
              </w:rPr>
              <w:t>114,4</w:t>
            </w:r>
          </w:p>
        </w:tc>
        <w:tc>
          <w:tcPr>
            <w:tcW w:w="850" w:type="dxa"/>
            <w:tcBorders>
              <w:top w:val="single" w:sz="4" w:space="0" w:color="auto"/>
              <w:left w:val="single" w:sz="4" w:space="0" w:color="auto"/>
              <w:bottom w:val="single" w:sz="4" w:space="0" w:color="auto"/>
              <w:right w:val="single" w:sz="4" w:space="0" w:color="auto"/>
            </w:tcBorders>
          </w:tcPr>
          <w:p w:rsidR="00423453" w:rsidRPr="00B34D7D" w:rsidRDefault="00423453" w:rsidP="004C25E3">
            <w:pPr>
              <w:ind w:left="-57" w:right="-57"/>
              <w:jc w:val="center"/>
              <w:rPr>
                <w:lang w:eastAsia="en-US"/>
              </w:rPr>
            </w:pPr>
          </w:p>
          <w:p w:rsidR="00423453" w:rsidRPr="00B34D7D" w:rsidRDefault="00423453" w:rsidP="004C25E3">
            <w:pPr>
              <w:ind w:left="-57" w:right="-57"/>
              <w:jc w:val="center"/>
              <w:rPr>
                <w:lang w:eastAsia="en-US"/>
              </w:rPr>
            </w:pPr>
          </w:p>
          <w:p w:rsidR="00423453" w:rsidRPr="00B34D7D" w:rsidRDefault="00423453" w:rsidP="004C25E3">
            <w:pPr>
              <w:ind w:left="-57" w:right="-57"/>
              <w:jc w:val="center"/>
              <w:rPr>
                <w:lang w:eastAsia="en-US"/>
              </w:rPr>
            </w:pPr>
            <w:r w:rsidRPr="00B34D7D">
              <w:rPr>
                <w:lang w:eastAsia="en-US"/>
              </w:rPr>
              <w:t>3282</w:t>
            </w:r>
          </w:p>
          <w:p w:rsidR="00423453" w:rsidRPr="00B34D7D" w:rsidRDefault="00423453" w:rsidP="004C25E3">
            <w:pPr>
              <w:ind w:left="-57" w:right="-57"/>
              <w:jc w:val="center"/>
              <w:rPr>
                <w:lang w:eastAsia="en-US"/>
              </w:rPr>
            </w:pPr>
            <w:r w:rsidRPr="00B34D7D">
              <w:rPr>
                <w:lang w:eastAsia="en-US"/>
              </w:rPr>
              <w:t>410,61</w:t>
            </w:r>
          </w:p>
          <w:p w:rsidR="00423453" w:rsidRPr="00B34D7D" w:rsidRDefault="00423453" w:rsidP="004C25E3">
            <w:pPr>
              <w:ind w:left="-57" w:right="-57"/>
              <w:jc w:val="center"/>
              <w:rPr>
                <w:lang w:eastAsia="en-US"/>
              </w:rPr>
            </w:pPr>
            <w:r w:rsidRPr="00B34D7D">
              <w:rPr>
                <w:lang w:eastAsia="en-US"/>
              </w:rPr>
              <w:t>108,2</w:t>
            </w:r>
          </w:p>
        </w:tc>
        <w:tc>
          <w:tcPr>
            <w:tcW w:w="851" w:type="dxa"/>
            <w:tcBorders>
              <w:top w:val="single" w:sz="4" w:space="0" w:color="auto"/>
              <w:left w:val="single" w:sz="4" w:space="0" w:color="auto"/>
              <w:bottom w:val="single" w:sz="4" w:space="0" w:color="auto"/>
              <w:right w:val="single" w:sz="4" w:space="0" w:color="auto"/>
            </w:tcBorders>
          </w:tcPr>
          <w:p w:rsidR="00423453" w:rsidRPr="00B34D7D" w:rsidRDefault="00423453" w:rsidP="004C25E3">
            <w:pPr>
              <w:ind w:left="-57" w:right="-57"/>
              <w:jc w:val="center"/>
              <w:rPr>
                <w:lang w:eastAsia="en-US"/>
              </w:rPr>
            </w:pPr>
          </w:p>
          <w:p w:rsidR="00423453" w:rsidRPr="00B34D7D" w:rsidRDefault="00423453" w:rsidP="004C25E3">
            <w:pPr>
              <w:ind w:left="-57" w:right="-57"/>
              <w:jc w:val="center"/>
              <w:rPr>
                <w:lang w:eastAsia="en-US"/>
              </w:rPr>
            </w:pPr>
          </w:p>
          <w:p w:rsidR="00423453" w:rsidRPr="00B34D7D" w:rsidRDefault="00423453" w:rsidP="004C25E3">
            <w:pPr>
              <w:ind w:left="-57" w:right="-57"/>
              <w:jc w:val="center"/>
              <w:rPr>
                <w:lang w:eastAsia="en-US"/>
              </w:rPr>
            </w:pPr>
            <w:r w:rsidRPr="00B34D7D">
              <w:rPr>
                <w:lang w:eastAsia="en-US"/>
              </w:rPr>
              <w:t>3480</w:t>
            </w:r>
          </w:p>
          <w:p w:rsidR="00423453" w:rsidRPr="00B34D7D" w:rsidRDefault="00423453" w:rsidP="004C25E3">
            <w:pPr>
              <w:ind w:left="-57" w:right="-57"/>
              <w:jc w:val="center"/>
              <w:rPr>
                <w:lang w:eastAsia="en-US"/>
              </w:rPr>
            </w:pPr>
            <w:r w:rsidRPr="00B34D7D">
              <w:rPr>
                <w:lang w:eastAsia="en-US"/>
              </w:rPr>
              <w:t>292,76</w:t>
            </w:r>
          </w:p>
          <w:p w:rsidR="00423453" w:rsidRPr="00B34D7D" w:rsidRDefault="00423453" w:rsidP="004C25E3">
            <w:pPr>
              <w:ind w:left="-57" w:right="-57"/>
              <w:jc w:val="center"/>
              <w:rPr>
                <w:lang w:eastAsia="en-US"/>
              </w:rPr>
            </w:pPr>
            <w:r w:rsidRPr="00B34D7D">
              <w:rPr>
                <w:lang w:eastAsia="en-US"/>
              </w:rPr>
              <w:t>93,5</w:t>
            </w:r>
          </w:p>
        </w:tc>
        <w:tc>
          <w:tcPr>
            <w:tcW w:w="850" w:type="dxa"/>
            <w:tcBorders>
              <w:top w:val="single" w:sz="4" w:space="0" w:color="auto"/>
              <w:left w:val="single" w:sz="4" w:space="0" w:color="auto"/>
              <w:bottom w:val="single" w:sz="4" w:space="0" w:color="auto"/>
              <w:right w:val="single" w:sz="4" w:space="0" w:color="auto"/>
            </w:tcBorders>
          </w:tcPr>
          <w:p w:rsidR="00423453" w:rsidRPr="00B34D7D" w:rsidRDefault="00423453" w:rsidP="004C25E3">
            <w:pPr>
              <w:ind w:left="-57" w:right="-57"/>
              <w:jc w:val="center"/>
              <w:rPr>
                <w:lang w:eastAsia="en-US"/>
              </w:rPr>
            </w:pPr>
          </w:p>
          <w:p w:rsidR="00423453" w:rsidRPr="00B34D7D" w:rsidRDefault="00423453" w:rsidP="004C25E3">
            <w:pPr>
              <w:ind w:left="-57" w:right="-57"/>
              <w:jc w:val="center"/>
              <w:rPr>
                <w:lang w:eastAsia="en-US"/>
              </w:rPr>
            </w:pPr>
          </w:p>
          <w:p w:rsidR="00423453" w:rsidRPr="00B34D7D" w:rsidRDefault="00423453" w:rsidP="004C25E3">
            <w:pPr>
              <w:ind w:left="-57" w:right="-57"/>
              <w:jc w:val="center"/>
              <w:rPr>
                <w:lang w:eastAsia="en-US"/>
              </w:rPr>
            </w:pPr>
            <w:r w:rsidRPr="00B34D7D">
              <w:rPr>
                <w:lang w:eastAsia="en-US"/>
              </w:rPr>
              <w:t>4195</w:t>
            </w:r>
          </w:p>
          <w:p w:rsidR="00423453" w:rsidRPr="00B34D7D" w:rsidRDefault="00423453" w:rsidP="004C25E3">
            <w:pPr>
              <w:ind w:left="-57" w:right="-57"/>
              <w:jc w:val="center"/>
              <w:rPr>
                <w:lang w:eastAsia="en-US"/>
              </w:rPr>
            </w:pPr>
            <w:r w:rsidRPr="00B34D7D">
              <w:rPr>
                <w:lang w:eastAsia="en-US"/>
              </w:rPr>
              <w:t>192,04</w:t>
            </w:r>
          </w:p>
          <w:p w:rsidR="00423453" w:rsidRPr="00B34D7D" w:rsidRDefault="00423453" w:rsidP="004C25E3">
            <w:pPr>
              <w:ind w:left="-57" w:right="-57"/>
              <w:jc w:val="center"/>
              <w:rPr>
                <w:lang w:eastAsia="en-US"/>
              </w:rPr>
            </w:pPr>
            <w:r w:rsidRPr="00B34D7D">
              <w:rPr>
                <w:lang w:eastAsia="en-US"/>
              </w:rPr>
              <w:t>79,8</w:t>
            </w:r>
          </w:p>
        </w:tc>
        <w:tc>
          <w:tcPr>
            <w:tcW w:w="1052" w:type="dxa"/>
            <w:tcBorders>
              <w:top w:val="single" w:sz="4" w:space="0" w:color="auto"/>
              <w:left w:val="single" w:sz="4" w:space="0" w:color="auto"/>
              <w:bottom w:val="single" w:sz="4" w:space="0" w:color="auto"/>
              <w:right w:val="single" w:sz="4" w:space="0" w:color="auto"/>
            </w:tcBorders>
          </w:tcPr>
          <w:p w:rsidR="00423453" w:rsidRPr="00B34D7D" w:rsidRDefault="00423453" w:rsidP="004C25E3">
            <w:pPr>
              <w:ind w:left="-57" w:right="-57"/>
              <w:jc w:val="center"/>
              <w:rPr>
                <w:lang w:eastAsia="en-US"/>
              </w:rPr>
            </w:pPr>
          </w:p>
          <w:p w:rsidR="00423453" w:rsidRPr="00B34D7D" w:rsidRDefault="00423453" w:rsidP="004C25E3">
            <w:pPr>
              <w:ind w:left="-57" w:right="-57"/>
              <w:jc w:val="center"/>
              <w:rPr>
                <w:lang w:eastAsia="en-US"/>
              </w:rPr>
            </w:pPr>
          </w:p>
          <w:p w:rsidR="00423453" w:rsidRPr="00B34D7D" w:rsidRDefault="00423453" w:rsidP="004C25E3">
            <w:pPr>
              <w:ind w:left="-57" w:right="-57"/>
              <w:jc w:val="center"/>
              <w:rPr>
                <w:lang w:eastAsia="en-US"/>
              </w:rPr>
            </w:pPr>
            <w:r w:rsidRPr="00B34D7D">
              <w:rPr>
                <w:lang w:eastAsia="en-US"/>
              </w:rPr>
              <w:t>4746</w:t>
            </w:r>
          </w:p>
          <w:p w:rsidR="00423453" w:rsidRPr="00B34D7D" w:rsidRDefault="00423453" w:rsidP="004C25E3">
            <w:pPr>
              <w:ind w:left="-57" w:right="-57"/>
              <w:jc w:val="center"/>
              <w:rPr>
                <w:lang w:eastAsia="en-US"/>
              </w:rPr>
            </w:pPr>
            <w:r w:rsidRPr="00B34D7D">
              <w:rPr>
                <w:lang w:eastAsia="en-US"/>
              </w:rPr>
              <w:t>190,22</w:t>
            </w:r>
          </w:p>
          <w:p w:rsidR="00423453" w:rsidRPr="00B34D7D" w:rsidRDefault="00423453" w:rsidP="004C25E3">
            <w:pPr>
              <w:ind w:left="-57" w:right="-57"/>
              <w:jc w:val="center"/>
              <w:rPr>
                <w:lang w:eastAsia="en-US"/>
              </w:rPr>
            </w:pPr>
            <w:r w:rsidRPr="00B34D7D">
              <w:rPr>
                <w:lang w:eastAsia="en-US"/>
              </w:rPr>
              <w:t>103,9</w:t>
            </w:r>
          </w:p>
        </w:tc>
      </w:tr>
    </w:tbl>
    <w:p w:rsidR="00423453" w:rsidRPr="00423453" w:rsidRDefault="00423453" w:rsidP="00423453">
      <w:pPr>
        <w:ind w:firstLine="709"/>
        <w:rPr>
          <w:sz w:val="20"/>
          <w:szCs w:val="20"/>
          <w:lang w:val="ru-RU" w:eastAsia="en-US"/>
        </w:rPr>
      </w:pPr>
      <w:r w:rsidRPr="00423453">
        <w:rPr>
          <w:sz w:val="20"/>
          <w:szCs w:val="20"/>
          <w:lang w:val="ru-RU" w:eastAsia="en-US"/>
        </w:rPr>
        <w:t xml:space="preserve">* </w:t>
      </w:r>
      <w:r w:rsidRPr="00423453">
        <w:rPr>
          <w:sz w:val="20"/>
          <w:szCs w:val="20"/>
          <w:lang w:eastAsia="en-US"/>
        </w:rPr>
        <w:t xml:space="preserve">складено на основі статистичної інформації </w:t>
      </w:r>
      <w:r w:rsidR="004A782E">
        <w:rPr>
          <w:sz w:val="20"/>
          <w:szCs w:val="20"/>
          <w:lang w:eastAsia="en-US"/>
        </w:rPr>
        <w:t xml:space="preserve"> </w:t>
      </w:r>
      <w:r w:rsidRPr="00423453">
        <w:rPr>
          <w:sz w:val="20"/>
          <w:szCs w:val="20"/>
          <w:lang w:val="ru-RU" w:eastAsia="en-US"/>
        </w:rPr>
        <w:t>[</w:t>
      </w:r>
      <w:r w:rsidRPr="00423453">
        <w:rPr>
          <w:sz w:val="20"/>
          <w:szCs w:val="20"/>
          <w:lang w:val="en-US" w:eastAsia="en-US"/>
        </w:rPr>
        <w:t>http</w:t>
      </w:r>
      <w:r w:rsidRPr="00423453">
        <w:rPr>
          <w:sz w:val="20"/>
          <w:szCs w:val="20"/>
          <w:lang w:val="ru-RU" w:eastAsia="en-US"/>
        </w:rPr>
        <w:t>://</w:t>
      </w:r>
      <w:r w:rsidRPr="00423453">
        <w:rPr>
          <w:sz w:val="20"/>
          <w:szCs w:val="20"/>
          <w:lang w:val="en-US" w:eastAsia="en-US"/>
        </w:rPr>
        <w:t>www</w:t>
      </w:r>
      <w:r w:rsidRPr="00423453">
        <w:rPr>
          <w:sz w:val="20"/>
          <w:szCs w:val="20"/>
          <w:lang w:val="ru-RU" w:eastAsia="en-US"/>
        </w:rPr>
        <w:t>.</w:t>
      </w:r>
      <w:r w:rsidRPr="00423453">
        <w:rPr>
          <w:sz w:val="20"/>
          <w:szCs w:val="20"/>
          <w:lang w:val="en-US" w:eastAsia="en-US"/>
        </w:rPr>
        <w:t>ukrstat</w:t>
      </w:r>
      <w:r w:rsidRPr="00423453">
        <w:rPr>
          <w:sz w:val="20"/>
          <w:szCs w:val="20"/>
          <w:lang w:val="ru-RU" w:eastAsia="en-US"/>
        </w:rPr>
        <w:t>.</w:t>
      </w:r>
      <w:r w:rsidRPr="00423453">
        <w:rPr>
          <w:sz w:val="20"/>
          <w:szCs w:val="20"/>
          <w:lang w:val="en-US" w:eastAsia="en-US"/>
        </w:rPr>
        <w:t>gov</w:t>
      </w:r>
      <w:r w:rsidRPr="00423453">
        <w:rPr>
          <w:sz w:val="20"/>
          <w:szCs w:val="20"/>
          <w:lang w:val="ru-RU" w:eastAsia="en-US"/>
        </w:rPr>
        <w:t>.</w:t>
      </w:r>
      <w:r w:rsidRPr="00423453">
        <w:rPr>
          <w:sz w:val="20"/>
          <w:szCs w:val="20"/>
          <w:lang w:val="en-US" w:eastAsia="en-US"/>
        </w:rPr>
        <w:t>ua</w:t>
      </w:r>
      <w:r w:rsidRPr="00423453">
        <w:rPr>
          <w:sz w:val="20"/>
          <w:szCs w:val="20"/>
          <w:lang w:val="ru-RU" w:eastAsia="en-US"/>
        </w:rPr>
        <w:t>/]</w:t>
      </w:r>
    </w:p>
    <w:p w:rsidR="00423453" w:rsidRDefault="00423453" w:rsidP="00423453">
      <w:pPr>
        <w:spacing w:line="360" w:lineRule="auto"/>
        <w:ind w:firstLine="720"/>
        <w:jc w:val="center"/>
        <w:rPr>
          <w:b/>
          <w:sz w:val="28"/>
          <w:szCs w:val="28"/>
          <w:lang w:val="ru-RU"/>
        </w:rPr>
      </w:pPr>
    </w:p>
    <w:p w:rsidR="00423453" w:rsidRPr="00DD66E5" w:rsidRDefault="00423453" w:rsidP="00DD66E5">
      <w:pPr>
        <w:ind w:firstLine="720"/>
        <w:jc w:val="both"/>
      </w:pPr>
      <w:r w:rsidRPr="00DD66E5">
        <w:t xml:space="preserve">Додають незначного оптимізму показники соціально-економічного розвитку у 1 півріччі 2016 р. Проте після різкого їх падіння у попередні роки рано говорити про покращення ситуації, оскільки середньомісячна заробітна плата в доларовому еквіваленті продовжує тенденцію </w:t>
      </w:r>
      <w:r w:rsidR="00307BFD">
        <w:t xml:space="preserve">до </w:t>
      </w:r>
      <w:commentRangeStart w:id="2"/>
      <w:r w:rsidRPr="00DD66E5">
        <w:t>зниження</w:t>
      </w:r>
      <w:commentRangeEnd w:id="2"/>
      <w:r w:rsidR="00AE3347">
        <w:rPr>
          <w:rStyle w:val="ac"/>
        </w:rPr>
        <w:commentReference w:id="2"/>
      </w:r>
      <w:r w:rsidRPr="00DD66E5">
        <w:t>. Невтішні показники щодо рівня безробіття та експорту, які також показують  негативну динаміку.</w:t>
      </w:r>
    </w:p>
    <w:p w:rsidR="00450F41" w:rsidRPr="00DD66E5" w:rsidRDefault="00423453" w:rsidP="00DD66E5">
      <w:pPr>
        <w:ind w:firstLine="851"/>
        <w:jc w:val="both"/>
      </w:pPr>
      <w:r w:rsidRPr="00DD66E5">
        <w:t>Не достатньо ефективна політика у сферах доходів та зайнятості спричинила поширення бідності не тільки серед вразливих верств населення, але й серед працюючих осіб.</w:t>
      </w:r>
      <w:r w:rsidR="006418AC" w:rsidRPr="00DD66E5">
        <w:t xml:space="preserve"> В результаті відбулося зростання частки домогосподарств із середньодушовими еквівалентними загальними (в. т.ч. і грошовими) доходами у місяць нижчими ніж фактичний розмір прожиткового мінімуму, розрахований Міністерством соціальної політики України. Так у 2014 р. такі домогосподарства складали близько 19 % (23,1 % - за грошовими доходами (г.д), у 1 кварталі 2015 р. – більше 25 % (&gt;38,8 % - за г.д.), у 2 кварталі 2015 р. – близько 60% (&gt;65% - за г.д.), а у 3 кварталі 2015р. – більше 64 % (&gt;70 %), а у 1 кварталі 2016 р. – більше 55,1 % (&gt;72%) (табл.</w:t>
      </w:r>
      <w:r w:rsidR="00D92DE2" w:rsidRPr="00DD66E5">
        <w:t>2</w:t>
      </w:r>
      <w:r w:rsidR="006418AC" w:rsidRPr="00DD66E5">
        <w:t xml:space="preserve">). </w:t>
      </w:r>
    </w:p>
    <w:p w:rsidR="00450F41" w:rsidRPr="00DD66E5" w:rsidRDefault="00450F41" w:rsidP="00DD66E5">
      <w:pPr>
        <w:ind w:firstLine="720"/>
        <w:jc w:val="right"/>
      </w:pPr>
      <w:r w:rsidRPr="00DD66E5">
        <w:t>Таблиця 2</w:t>
      </w:r>
    </w:p>
    <w:p w:rsidR="00450F41" w:rsidRPr="00E172E4" w:rsidRDefault="00450F41" w:rsidP="00DD66E5">
      <w:pPr>
        <w:ind w:firstLine="720"/>
        <w:jc w:val="center"/>
        <w:rPr>
          <w:lang w:val="ru-RU"/>
        </w:rPr>
      </w:pPr>
      <w:r w:rsidRPr="00DD66E5">
        <w:rPr>
          <w:b/>
        </w:rPr>
        <w:t>Динаміка частки населення України із середньодушовими доходами, нижчими фактичного розміру прожиткового мінімуму</w:t>
      </w:r>
      <w:r w:rsidR="003A6692">
        <w:rPr>
          <w:b/>
          <w:lang w:val="ru-RU"/>
        </w:rPr>
        <w:t>*</w:t>
      </w:r>
      <w:r w:rsidR="004C25E3" w:rsidRPr="004C25E3">
        <w:rPr>
          <w:b/>
          <w:lang w:val="ru-RU"/>
        </w:rPr>
        <w:t>[</w:t>
      </w:r>
      <w:r w:rsidR="004C25E3" w:rsidRPr="004C25E3">
        <w:rPr>
          <w:lang w:val="ru-RU"/>
        </w:rPr>
        <w:t>2</w:t>
      </w:r>
      <w:r w:rsidR="004C25E3" w:rsidRPr="004C25E3">
        <w:rPr>
          <w:b/>
          <w:lang w:val="ru-RU"/>
        </w:rPr>
        <w:t>]</w:t>
      </w:r>
    </w:p>
    <w:tbl>
      <w:tblPr>
        <w:tblStyle w:val="a9"/>
        <w:tblW w:w="0" w:type="auto"/>
        <w:tblInd w:w="108" w:type="dxa"/>
        <w:tblLook w:val="04A0" w:firstRow="1" w:lastRow="0" w:firstColumn="1" w:lastColumn="0" w:noHBand="0" w:noVBand="1"/>
      </w:tblPr>
      <w:tblGrid>
        <w:gridCol w:w="3678"/>
        <w:gridCol w:w="996"/>
        <w:gridCol w:w="996"/>
        <w:gridCol w:w="993"/>
        <w:gridCol w:w="1017"/>
        <w:gridCol w:w="967"/>
        <w:gridCol w:w="992"/>
      </w:tblGrid>
      <w:tr w:rsidR="00450F41" w:rsidRPr="00B34D7D" w:rsidTr="00A73664">
        <w:tc>
          <w:tcPr>
            <w:tcW w:w="3678" w:type="dxa"/>
          </w:tcPr>
          <w:p w:rsidR="00450F41" w:rsidRPr="00B34D7D" w:rsidRDefault="00450F41" w:rsidP="00A73664">
            <w:pPr>
              <w:jc w:val="center"/>
            </w:pPr>
            <w:r w:rsidRPr="00B34D7D">
              <w:t>Показники</w:t>
            </w:r>
          </w:p>
        </w:tc>
        <w:tc>
          <w:tcPr>
            <w:tcW w:w="996" w:type="dxa"/>
          </w:tcPr>
          <w:p w:rsidR="00450F41" w:rsidRPr="00B34D7D" w:rsidRDefault="00450F41" w:rsidP="00A73664">
            <w:pPr>
              <w:jc w:val="center"/>
            </w:pPr>
            <w:r w:rsidRPr="00B34D7D">
              <w:t>4 кв. 2014 р.</w:t>
            </w:r>
          </w:p>
        </w:tc>
        <w:tc>
          <w:tcPr>
            <w:tcW w:w="996" w:type="dxa"/>
          </w:tcPr>
          <w:p w:rsidR="00450F41" w:rsidRPr="00B34D7D" w:rsidRDefault="00450F41" w:rsidP="00A73664">
            <w:pPr>
              <w:jc w:val="center"/>
            </w:pPr>
            <w:r w:rsidRPr="00B34D7D">
              <w:t>1 кв.</w:t>
            </w:r>
          </w:p>
          <w:p w:rsidR="00450F41" w:rsidRPr="00B34D7D" w:rsidRDefault="00450F41" w:rsidP="00A73664">
            <w:pPr>
              <w:jc w:val="center"/>
            </w:pPr>
            <w:r w:rsidRPr="00B34D7D">
              <w:t>2015 р.</w:t>
            </w:r>
          </w:p>
        </w:tc>
        <w:tc>
          <w:tcPr>
            <w:tcW w:w="993" w:type="dxa"/>
          </w:tcPr>
          <w:p w:rsidR="00450F41" w:rsidRPr="00B34D7D" w:rsidRDefault="00450F41" w:rsidP="00A73664">
            <w:pPr>
              <w:jc w:val="center"/>
            </w:pPr>
            <w:r w:rsidRPr="00B34D7D">
              <w:t>2 кв.</w:t>
            </w:r>
          </w:p>
          <w:p w:rsidR="00450F41" w:rsidRPr="00B34D7D" w:rsidRDefault="00450F41" w:rsidP="00A73664">
            <w:pPr>
              <w:jc w:val="center"/>
            </w:pPr>
            <w:r w:rsidRPr="00B34D7D">
              <w:t>2015 р.</w:t>
            </w:r>
          </w:p>
        </w:tc>
        <w:tc>
          <w:tcPr>
            <w:tcW w:w="1017" w:type="dxa"/>
          </w:tcPr>
          <w:p w:rsidR="00450F41" w:rsidRPr="00B34D7D" w:rsidRDefault="00450F41" w:rsidP="00A73664">
            <w:pPr>
              <w:jc w:val="center"/>
            </w:pPr>
            <w:r w:rsidRPr="00B34D7D">
              <w:t>3 кв.</w:t>
            </w:r>
          </w:p>
          <w:p w:rsidR="00450F41" w:rsidRPr="00B34D7D" w:rsidRDefault="00450F41" w:rsidP="00A73664">
            <w:pPr>
              <w:jc w:val="center"/>
            </w:pPr>
            <w:r w:rsidRPr="00B34D7D">
              <w:t>2015 р.</w:t>
            </w:r>
          </w:p>
        </w:tc>
        <w:tc>
          <w:tcPr>
            <w:tcW w:w="967" w:type="dxa"/>
          </w:tcPr>
          <w:p w:rsidR="00450F41" w:rsidRPr="00B34D7D" w:rsidRDefault="00450F41" w:rsidP="00A73664">
            <w:pPr>
              <w:jc w:val="center"/>
            </w:pPr>
            <w:r w:rsidRPr="00B34D7D">
              <w:t>4 кв. 2015 р</w:t>
            </w:r>
          </w:p>
        </w:tc>
        <w:tc>
          <w:tcPr>
            <w:tcW w:w="992" w:type="dxa"/>
          </w:tcPr>
          <w:p w:rsidR="00450F41" w:rsidRPr="00B34D7D" w:rsidRDefault="00450F41" w:rsidP="00A73664">
            <w:pPr>
              <w:jc w:val="center"/>
            </w:pPr>
            <w:r w:rsidRPr="00B34D7D">
              <w:t>1 кв. 2016 р.</w:t>
            </w:r>
          </w:p>
        </w:tc>
      </w:tr>
      <w:tr w:rsidR="00450F41" w:rsidRPr="00B34D7D" w:rsidTr="00A73664">
        <w:tc>
          <w:tcPr>
            <w:tcW w:w="3678" w:type="dxa"/>
          </w:tcPr>
          <w:p w:rsidR="00450F41" w:rsidRPr="00B34D7D" w:rsidRDefault="00450F41" w:rsidP="00A73664">
            <w:r w:rsidRPr="00B34D7D">
              <w:t>Середній розмір фактичного*</w:t>
            </w:r>
            <w:r w:rsidR="003A6692">
              <w:rPr>
                <w:lang w:val="ru-RU"/>
              </w:rPr>
              <w:t>*</w:t>
            </w:r>
            <w:r w:rsidRPr="00B34D7D">
              <w:t xml:space="preserve"> прожиткового мінімуму в розрахунку на одну особу, грн.</w:t>
            </w:r>
          </w:p>
        </w:tc>
        <w:tc>
          <w:tcPr>
            <w:tcW w:w="996" w:type="dxa"/>
          </w:tcPr>
          <w:p w:rsidR="00450F41" w:rsidRPr="00B34D7D" w:rsidRDefault="00450F41" w:rsidP="00A73664">
            <w:pPr>
              <w:jc w:val="center"/>
            </w:pPr>
          </w:p>
          <w:p w:rsidR="00450F41" w:rsidRPr="00B34D7D" w:rsidRDefault="00450F41" w:rsidP="00A73664">
            <w:pPr>
              <w:jc w:val="center"/>
            </w:pPr>
          </w:p>
          <w:p w:rsidR="00450F41" w:rsidRPr="00B34D7D" w:rsidRDefault="00450F41" w:rsidP="00A73664">
            <w:pPr>
              <w:jc w:val="center"/>
            </w:pPr>
            <w:r w:rsidRPr="00B34D7D">
              <w:t>1449,0</w:t>
            </w:r>
          </w:p>
        </w:tc>
        <w:tc>
          <w:tcPr>
            <w:tcW w:w="996" w:type="dxa"/>
          </w:tcPr>
          <w:p w:rsidR="00450F41" w:rsidRPr="00B34D7D" w:rsidRDefault="00450F41" w:rsidP="00A73664">
            <w:pPr>
              <w:jc w:val="center"/>
            </w:pPr>
          </w:p>
          <w:p w:rsidR="00450F41" w:rsidRPr="00B34D7D" w:rsidRDefault="00450F41" w:rsidP="00A73664">
            <w:pPr>
              <w:jc w:val="center"/>
            </w:pPr>
          </w:p>
          <w:p w:rsidR="00450F41" w:rsidRPr="00B34D7D" w:rsidRDefault="00450F41" w:rsidP="00A73664">
            <w:pPr>
              <w:jc w:val="center"/>
            </w:pPr>
            <w:r w:rsidRPr="00B34D7D">
              <w:t>1723,3</w:t>
            </w:r>
          </w:p>
        </w:tc>
        <w:tc>
          <w:tcPr>
            <w:tcW w:w="993" w:type="dxa"/>
          </w:tcPr>
          <w:p w:rsidR="00450F41" w:rsidRPr="00B34D7D" w:rsidRDefault="00450F41" w:rsidP="00A73664">
            <w:pPr>
              <w:jc w:val="center"/>
            </w:pPr>
          </w:p>
          <w:p w:rsidR="00450F41" w:rsidRPr="00B34D7D" w:rsidRDefault="00450F41" w:rsidP="00A73664">
            <w:pPr>
              <w:jc w:val="center"/>
            </w:pPr>
          </w:p>
          <w:p w:rsidR="00450F41" w:rsidRPr="00B34D7D" w:rsidRDefault="00450F41" w:rsidP="00A73664">
            <w:pPr>
              <w:jc w:val="center"/>
            </w:pPr>
            <w:r w:rsidRPr="00B34D7D">
              <w:t>2569,3</w:t>
            </w:r>
          </w:p>
        </w:tc>
        <w:tc>
          <w:tcPr>
            <w:tcW w:w="1017" w:type="dxa"/>
          </w:tcPr>
          <w:p w:rsidR="00450F41" w:rsidRPr="00B34D7D" w:rsidRDefault="00450F41" w:rsidP="00A73664">
            <w:pPr>
              <w:jc w:val="center"/>
            </w:pPr>
          </w:p>
          <w:p w:rsidR="00450F41" w:rsidRPr="00B34D7D" w:rsidRDefault="00450F41" w:rsidP="00A73664">
            <w:pPr>
              <w:jc w:val="center"/>
            </w:pPr>
          </w:p>
          <w:p w:rsidR="00450F41" w:rsidRPr="00B34D7D" w:rsidRDefault="00450F41" w:rsidP="00A73664">
            <w:pPr>
              <w:jc w:val="center"/>
            </w:pPr>
            <w:r w:rsidRPr="00B34D7D">
              <w:t>2698,3</w:t>
            </w:r>
          </w:p>
        </w:tc>
        <w:tc>
          <w:tcPr>
            <w:tcW w:w="967" w:type="dxa"/>
          </w:tcPr>
          <w:p w:rsidR="00450F41" w:rsidRPr="00B34D7D" w:rsidRDefault="00450F41" w:rsidP="00A73664">
            <w:pPr>
              <w:jc w:val="center"/>
            </w:pPr>
          </w:p>
          <w:p w:rsidR="00450F41" w:rsidRPr="00B34D7D" w:rsidRDefault="00450F41" w:rsidP="00A73664">
            <w:pPr>
              <w:jc w:val="center"/>
            </w:pPr>
          </w:p>
          <w:p w:rsidR="00450F41" w:rsidRPr="00B34D7D" w:rsidRDefault="00450F41" w:rsidP="00A73664">
            <w:pPr>
              <w:jc w:val="center"/>
            </w:pPr>
            <w:r w:rsidRPr="00B34D7D">
              <w:t>2617,7</w:t>
            </w:r>
          </w:p>
        </w:tc>
        <w:tc>
          <w:tcPr>
            <w:tcW w:w="992" w:type="dxa"/>
          </w:tcPr>
          <w:p w:rsidR="00450F41" w:rsidRPr="00B34D7D" w:rsidRDefault="00450F41" w:rsidP="00A73664">
            <w:pPr>
              <w:jc w:val="center"/>
            </w:pPr>
          </w:p>
          <w:p w:rsidR="00450F41" w:rsidRPr="00B34D7D" w:rsidRDefault="00450F41" w:rsidP="00A73664">
            <w:pPr>
              <w:jc w:val="center"/>
            </w:pPr>
          </w:p>
          <w:p w:rsidR="00450F41" w:rsidRPr="00B34D7D" w:rsidRDefault="00450F41" w:rsidP="00A73664">
            <w:pPr>
              <w:jc w:val="center"/>
            </w:pPr>
            <w:r w:rsidRPr="00B34D7D">
              <w:t>2680,7</w:t>
            </w:r>
          </w:p>
        </w:tc>
      </w:tr>
      <w:tr w:rsidR="00450F41" w:rsidRPr="00B34D7D" w:rsidTr="00A73664">
        <w:tc>
          <w:tcPr>
            <w:tcW w:w="3678" w:type="dxa"/>
          </w:tcPr>
          <w:p w:rsidR="00450F41" w:rsidRPr="00B34D7D" w:rsidRDefault="00450F41" w:rsidP="00A73664">
            <w:r w:rsidRPr="00B34D7D">
              <w:t>Кумулятивна частка населення із середньодушовими еквівалент</w:t>
            </w:r>
            <w:r>
              <w:t>-</w:t>
            </w:r>
            <w:r w:rsidRPr="00B34D7D">
              <w:t xml:space="preserve">ними грошовими доходами у місяць, </w:t>
            </w:r>
            <w:commentRangeStart w:id="3"/>
            <w:r w:rsidRPr="00B34D7D">
              <w:t>нижчими</w:t>
            </w:r>
            <w:r w:rsidR="00307BFD">
              <w:t>**</w:t>
            </w:r>
            <w:r w:rsidR="003A6692">
              <w:rPr>
                <w:lang w:val="ru-RU"/>
              </w:rPr>
              <w:t>*</w:t>
            </w:r>
            <w:r w:rsidRPr="00B34D7D">
              <w:t>, грн</w:t>
            </w:r>
            <w:commentRangeEnd w:id="3"/>
            <w:r w:rsidR="001E4BC2">
              <w:rPr>
                <w:rStyle w:val="ac"/>
              </w:rPr>
              <w:commentReference w:id="3"/>
            </w:r>
          </w:p>
          <w:p w:rsidR="00450F41" w:rsidRPr="00B34D7D" w:rsidRDefault="00450F41" w:rsidP="00A73664">
            <w:r w:rsidRPr="00B34D7D">
              <w:t>%</w:t>
            </w:r>
          </w:p>
        </w:tc>
        <w:tc>
          <w:tcPr>
            <w:tcW w:w="996" w:type="dxa"/>
          </w:tcPr>
          <w:p w:rsidR="00450F41" w:rsidRPr="00B34D7D" w:rsidRDefault="00450F41" w:rsidP="00A73664">
            <w:pPr>
              <w:jc w:val="center"/>
            </w:pPr>
          </w:p>
          <w:p w:rsidR="00450F41" w:rsidRPr="00B34D7D" w:rsidRDefault="00450F41" w:rsidP="00A73664">
            <w:pPr>
              <w:jc w:val="center"/>
            </w:pPr>
          </w:p>
          <w:p w:rsidR="00450F41" w:rsidRPr="00B34D7D" w:rsidRDefault="00450F41" w:rsidP="00A73664">
            <w:pPr>
              <w:jc w:val="center"/>
            </w:pPr>
          </w:p>
          <w:p w:rsidR="00450F41" w:rsidRPr="00B34D7D" w:rsidRDefault="00450F41" w:rsidP="00A73664">
            <w:pPr>
              <w:jc w:val="center"/>
            </w:pPr>
            <w:r w:rsidRPr="00B34D7D">
              <w:t>1324,75</w:t>
            </w:r>
          </w:p>
          <w:p w:rsidR="00450F41" w:rsidRPr="00B34D7D" w:rsidRDefault="00450F41" w:rsidP="00A73664">
            <w:pPr>
              <w:jc w:val="center"/>
            </w:pPr>
            <w:r w:rsidRPr="00B34D7D">
              <w:t>23,1</w:t>
            </w:r>
          </w:p>
        </w:tc>
        <w:tc>
          <w:tcPr>
            <w:tcW w:w="996" w:type="dxa"/>
          </w:tcPr>
          <w:p w:rsidR="00450F41" w:rsidRPr="00B34D7D" w:rsidRDefault="00450F41" w:rsidP="00A73664">
            <w:pPr>
              <w:jc w:val="center"/>
            </w:pPr>
          </w:p>
          <w:p w:rsidR="00450F41" w:rsidRPr="00B34D7D" w:rsidRDefault="00450F41" w:rsidP="00A73664">
            <w:pPr>
              <w:jc w:val="center"/>
            </w:pPr>
          </w:p>
          <w:p w:rsidR="00450F41" w:rsidRPr="00B34D7D" w:rsidRDefault="00450F41" w:rsidP="00A73664">
            <w:pPr>
              <w:jc w:val="center"/>
            </w:pPr>
          </w:p>
          <w:p w:rsidR="00450F41" w:rsidRPr="00B34D7D" w:rsidRDefault="00450F41" w:rsidP="00A73664">
            <w:pPr>
              <w:jc w:val="center"/>
            </w:pPr>
            <w:r w:rsidRPr="00B34D7D">
              <w:t>1560,10</w:t>
            </w:r>
          </w:p>
          <w:p w:rsidR="00450F41" w:rsidRPr="00B34D7D" w:rsidRDefault="00450F41" w:rsidP="00A73664">
            <w:pPr>
              <w:jc w:val="center"/>
            </w:pPr>
            <w:r w:rsidRPr="00B34D7D">
              <w:t>38,8</w:t>
            </w:r>
          </w:p>
        </w:tc>
        <w:tc>
          <w:tcPr>
            <w:tcW w:w="993" w:type="dxa"/>
          </w:tcPr>
          <w:p w:rsidR="00450F41" w:rsidRPr="00B34D7D" w:rsidRDefault="00450F41" w:rsidP="00A73664">
            <w:pPr>
              <w:jc w:val="center"/>
            </w:pPr>
          </w:p>
          <w:p w:rsidR="00450F41" w:rsidRPr="00B34D7D" w:rsidRDefault="00450F41" w:rsidP="00A73664">
            <w:pPr>
              <w:jc w:val="center"/>
            </w:pPr>
          </w:p>
          <w:p w:rsidR="00450F41" w:rsidRPr="00B34D7D" w:rsidRDefault="00450F41" w:rsidP="00A73664">
            <w:pPr>
              <w:jc w:val="center"/>
            </w:pPr>
          </w:p>
          <w:p w:rsidR="00450F41" w:rsidRPr="00B34D7D" w:rsidRDefault="00450F41" w:rsidP="00A73664">
            <w:pPr>
              <w:jc w:val="center"/>
            </w:pPr>
            <w:r w:rsidRPr="00B34D7D">
              <w:t>2280</w:t>
            </w:r>
          </w:p>
          <w:p w:rsidR="00450F41" w:rsidRPr="00B34D7D" w:rsidRDefault="00450F41" w:rsidP="00A73664">
            <w:pPr>
              <w:jc w:val="center"/>
            </w:pPr>
            <w:r w:rsidRPr="00B34D7D">
              <w:t>65,4</w:t>
            </w:r>
          </w:p>
        </w:tc>
        <w:tc>
          <w:tcPr>
            <w:tcW w:w="1017" w:type="dxa"/>
          </w:tcPr>
          <w:p w:rsidR="00450F41" w:rsidRPr="00B34D7D" w:rsidRDefault="00450F41" w:rsidP="00A73664">
            <w:pPr>
              <w:jc w:val="center"/>
            </w:pPr>
          </w:p>
          <w:p w:rsidR="00450F41" w:rsidRPr="00B34D7D" w:rsidRDefault="00450F41" w:rsidP="00A73664">
            <w:pPr>
              <w:jc w:val="center"/>
            </w:pPr>
          </w:p>
          <w:p w:rsidR="00450F41" w:rsidRPr="00B34D7D" w:rsidRDefault="00450F41" w:rsidP="00A73664">
            <w:pPr>
              <w:jc w:val="center"/>
            </w:pPr>
          </w:p>
          <w:p w:rsidR="00450F41" w:rsidRPr="00B34D7D" w:rsidRDefault="00450F41" w:rsidP="00A73664">
            <w:pPr>
              <w:jc w:val="center"/>
            </w:pPr>
            <w:r w:rsidRPr="00B34D7D">
              <w:t>2640</w:t>
            </w:r>
          </w:p>
          <w:p w:rsidR="00450F41" w:rsidRPr="00B34D7D" w:rsidRDefault="00450F41" w:rsidP="00A73664">
            <w:pPr>
              <w:jc w:val="center"/>
            </w:pPr>
            <w:r w:rsidRPr="00B34D7D">
              <w:t>69,9</w:t>
            </w:r>
          </w:p>
        </w:tc>
        <w:tc>
          <w:tcPr>
            <w:tcW w:w="967" w:type="dxa"/>
          </w:tcPr>
          <w:p w:rsidR="00450F41" w:rsidRPr="00B34D7D" w:rsidRDefault="00450F41" w:rsidP="00A73664">
            <w:pPr>
              <w:jc w:val="center"/>
            </w:pPr>
          </w:p>
          <w:p w:rsidR="00450F41" w:rsidRPr="00B34D7D" w:rsidRDefault="00450F41" w:rsidP="00A73664">
            <w:pPr>
              <w:jc w:val="center"/>
            </w:pPr>
          </w:p>
          <w:p w:rsidR="00450F41" w:rsidRPr="00B34D7D" w:rsidRDefault="00450F41" w:rsidP="00A73664">
            <w:pPr>
              <w:jc w:val="center"/>
            </w:pPr>
          </w:p>
          <w:p w:rsidR="00450F41" w:rsidRPr="00B34D7D" w:rsidRDefault="00450F41" w:rsidP="00A73664">
            <w:pPr>
              <w:jc w:val="center"/>
            </w:pPr>
            <w:r w:rsidRPr="00B34D7D">
              <w:t>2364</w:t>
            </w:r>
          </w:p>
          <w:p w:rsidR="00450F41" w:rsidRPr="00B34D7D" w:rsidRDefault="00450F41" w:rsidP="00A73664">
            <w:pPr>
              <w:jc w:val="center"/>
            </w:pPr>
            <w:r>
              <w:t>58,9</w:t>
            </w:r>
          </w:p>
        </w:tc>
        <w:tc>
          <w:tcPr>
            <w:tcW w:w="992" w:type="dxa"/>
          </w:tcPr>
          <w:p w:rsidR="00450F41" w:rsidRPr="00B34D7D" w:rsidRDefault="00450F41" w:rsidP="00A73664">
            <w:pPr>
              <w:jc w:val="center"/>
            </w:pPr>
          </w:p>
          <w:p w:rsidR="00450F41" w:rsidRPr="00B34D7D" w:rsidRDefault="00450F41" w:rsidP="00A73664">
            <w:pPr>
              <w:jc w:val="center"/>
            </w:pPr>
          </w:p>
          <w:p w:rsidR="00450F41" w:rsidRPr="00B34D7D" w:rsidRDefault="00450F41" w:rsidP="00A73664">
            <w:pPr>
              <w:jc w:val="center"/>
            </w:pPr>
          </w:p>
          <w:p w:rsidR="00450F41" w:rsidRPr="00B34D7D" w:rsidRDefault="00450F41" w:rsidP="00A73664">
            <w:pPr>
              <w:jc w:val="center"/>
            </w:pPr>
            <w:r w:rsidRPr="00B34D7D">
              <w:t>2640</w:t>
            </w:r>
          </w:p>
          <w:p w:rsidR="00450F41" w:rsidRPr="00B34D7D" w:rsidRDefault="00450F41" w:rsidP="00A73664">
            <w:pPr>
              <w:jc w:val="center"/>
            </w:pPr>
            <w:r w:rsidRPr="00B34D7D">
              <w:t>72,0</w:t>
            </w:r>
          </w:p>
        </w:tc>
      </w:tr>
      <w:tr w:rsidR="00450F41" w:rsidRPr="00B34D7D" w:rsidTr="00A73664">
        <w:tc>
          <w:tcPr>
            <w:tcW w:w="3678" w:type="dxa"/>
          </w:tcPr>
          <w:p w:rsidR="00450F41" w:rsidRPr="00B34D7D" w:rsidRDefault="00450F41" w:rsidP="00A73664">
            <w:r w:rsidRPr="00B34D7D">
              <w:t>Кумулятивна частка населення із середньодушовими еквівалент ними загальними доходами у місяць, нижчими</w:t>
            </w:r>
            <w:r w:rsidR="004C25E3" w:rsidRPr="004C25E3">
              <w:rPr>
                <w:lang w:val="ru-RU"/>
              </w:rPr>
              <w:t>***</w:t>
            </w:r>
            <w:r w:rsidRPr="00B34D7D">
              <w:t>, грн</w:t>
            </w:r>
          </w:p>
          <w:p w:rsidR="00450F41" w:rsidRPr="00B34D7D" w:rsidRDefault="00450F41" w:rsidP="00A73664">
            <w:r w:rsidRPr="00B34D7D">
              <w:t>%</w:t>
            </w:r>
          </w:p>
        </w:tc>
        <w:tc>
          <w:tcPr>
            <w:tcW w:w="996" w:type="dxa"/>
          </w:tcPr>
          <w:p w:rsidR="00450F41" w:rsidRPr="00B34D7D" w:rsidRDefault="00450F41" w:rsidP="00A73664">
            <w:pPr>
              <w:jc w:val="center"/>
            </w:pPr>
          </w:p>
          <w:p w:rsidR="00450F41" w:rsidRPr="00B34D7D" w:rsidRDefault="00450F41" w:rsidP="00A73664">
            <w:pPr>
              <w:jc w:val="center"/>
            </w:pPr>
          </w:p>
          <w:p w:rsidR="00450F41" w:rsidRPr="00B34D7D" w:rsidRDefault="00450F41" w:rsidP="00A73664">
            <w:pPr>
              <w:jc w:val="center"/>
            </w:pPr>
          </w:p>
          <w:p w:rsidR="00450F41" w:rsidRPr="00B34D7D" w:rsidRDefault="00450F41" w:rsidP="00A73664">
            <w:pPr>
              <w:jc w:val="center"/>
            </w:pPr>
            <w:r w:rsidRPr="00B34D7D">
              <w:t>1461,03</w:t>
            </w:r>
          </w:p>
          <w:p w:rsidR="00450F41" w:rsidRPr="00B34D7D" w:rsidRDefault="00450F41" w:rsidP="00A73664">
            <w:pPr>
              <w:jc w:val="center"/>
            </w:pPr>
            <w:r w:rsidRPr="00B34D7D">
              <w:t>19,7</w:t>
            </w:r>
          </w:p>
        </w:tc>
        <w:tc>
          <w:tcPr>
            <w:tcW w:w="996" w:type="dxa"/>
          </w:tcPr>
          <w:p w:rsidR="00450F41" w:rsidRPr="00B34D7D" w:rsidRDefault="00450F41" w:rsidP="00A73664">
            <w:pPr>
              <w:jc w:val="center"/>
            </w:pPr>
          </w:p>
          <w:p w:rsidR="00450F41" w:rsidRPr="00B34D7D" w:rsidRDefault="00450F41" w:rsidP="00A73664">
            <w:pPr>
              <w:jc w:val="center"/>
            </w:pPr>
          </w:p>
          <w:p w:rsidR="00450F41" w:rsidRPr="00B34D7D" w:rsidRDefault="00450F41" w:rsidP="00A73664">
            <w:pPr>
              <w:jc w:val="center"/>
            </w:pPr>
          </w:p>
          <w:p w:rsidR="00450F41" w:rsidRPr="00B34D7D" w:rsidRDefault="00450F41" w:rsidP="00A73664">
            <w:pPr>
              <w:jc w:val="center"/>
            </w:pPr>
            <w:r w:rsidRPr="00B34D7D">
              <w:t>1560,10</w:t>
            </w:r>
          </w:p>
          <w:p w:rsidR="00450F41" w:rsidRPr="00B34D7D" w:rsidRDefault="00450F41" w:rsidP="00A73664">
            <w:pPr>
              <w:jc w:val="center"/>
            </w:pPr>
            <w:r w:rsidRPr="00B34D7D">
              <w:t>25,1</w:t>
            </w:r>
          </w:p>
        </w:tc>
        <w:tc>
          <w:tcPr>
            <w:tcW w:w="993" w:type="dxa"/>
          </w:tcPr>
          <w:p w:rsidR="00450F41" w:rsidRPr="00B34D7D" w:rsidRDefault="00450F41" w:rsidP="00A73664">
            <w:pPr>
              <w:jc w:val="center"/>
            </w:pPr>
          </w:p>
          <w:p w:rsidR="00450F41" w:rsidRPr="00B34D7D" w:rsidRDefault="00450F41" w:rsidP="00A73664">
            <w:pPr>
              <w:jc w:val="center"/>
            </w:pPr>
          </w:p>
          <w:p w:rsidR="00450F41" w:rsidRPr="00B34D7D" w:rsidRDefault="00450F41" w:rsidP="00A73664">
            <w:pPr>
              <w:jc w:val="center"/>
            </w:pPr>
          </w:p>
          <w:p w:rsidR="00450F41" w:rsidRPr="00B34D7D" w:rsidRDefault="00450F41" w:rsidP="00A73664">
            <w:pPr>
              <w:jc w:val="center"/>
            </w:pPr>
            <w:r w:rsidRPr="00B34D7D">
              <w:t>2280</w:t>
            </w:r>
          </w:p>
          <w:p w:rsidR="00450F41" w:rsidRPr="00B34D7D" w:rsidRDefault="00450F41" w:rsidP="00A73664">
            <w:pPr>
              <w:jc w:val="center"/>
            </w:pPr>
            <w:r w:rsidRPr="00B34D7D">
              <w:t>58,1</w:t>
            </w:r>
          </w:p>
        </w:tc>
        <w:tc>
          <w:tcPr>
            <w:tcW w:w="1017" w:type="dxa"/>
          </w:tcPr>
          <w:p w:rsidR="00450F41" w:rsidRPr="00B34D7D" w:rsidRDefault="00450F41" w:rsidP="00A73664">
            <w:pPr>
              <w:jc w:val="center"/>
            </w:pPr>
          </w:p>
          <w:p w:rsidR="00450F41" w:rsidRPr="00B34D7D" w:rsidRDefault="00450F41" w:rsidP="00A73664">
            <w:pPr>
              <w:jc w:val="center"/>
            </w:pPr>
          </w:p>
          <w:p w:rsidR="00450F41" w:rsidRPr="00B34D7D" w:rsidRDefault="00450F41" w:rsidP="00A73664">
            <w:pPr>
              <w:jc w:val="center"/>
            </w:pPr>
          </w:p>
          <w:p w:rsidR="00450F41" w:rsidRPr="00B34D7D" w:rsidRDefault="00450F41" w:rsidP="00A73664">
            <w:pPr>
              <w:jc w:val="center"/>
            </w:pPr>
            <w:r w:rsidRPr="00B34D7D">
              <w:t>2640</w:t>
            </w:r>
          </w:p>
          <w:p w:rsidR="00450F41" w:rsidRPr="00B34D7D" w:rsidRDefault="00450F41" w:rsidP="00A73664">
            <w:pPr>
              <w:jc w:val="center"/>
            </w:pPr>
            <w:r w:rsidRPr="00B34D7D">
              <w:t>64,0</w:t>
            </w:r>
          </w:p>
        </w:tc>
        <w:tc>
          <w:tcPr>
            <w:tcW w:w="967" w:type="dxa"/>
          </w:tcPr>
          <w:p w:rsidR="00450F41" w:rsidRPr="00B34D7D" w:rsidRDefault="00450F41" w:rsidP="00A73664">
            <w:pPr>
              <w:jc w:val="center"/>
            </w:pPr>
          </w:p>
          <w:p w:rsidR="00450F41" w:rsidRPr="00B34D7D" w:rsidRDefault="00450F41" w:rsidP="00A73664">
            <w:pPr>
              <w:jc w:val="center"/>
            </w:pPr>
          </w:p>
          <w:p w:rsidR="00450F41" w:rsidRPr="00B34D7D" w:rsidRDefault="00450F41" w:rsidP="00A73664">
            <w:pPr>
              <w:jc w:val="center"/>
            </w:pPr>
          </w:p>
          <w:p w:rsidR="00450F41" w:rsidRPr="00B34D7D" w:rsidRDefault="00450F41" w:rsidP="00A73664">
            <w:pPr>
              <w:jc w:val="center"/>
            </w:pPr>
            <w:r w:rsidRPr="00B34D7D">
              <w:t>2426</w:t>
            </w:r>
          </w:p>
          <w:p w:rsidR="00450F41" w:rsidRPr="00B34D7D" w:rsidRDefault="00450F41" w:rsidP="00A73664">
            <w:pPr>
              <w:jc w:val="center"/>
            </w:pPr>
            <w:r w:rsidRPr="00B34D7D">
              <w:t>47,3</w:t>
            </w:r>
          </w:p>
        </w:tc>
        <w:tc>
          <w:tcPr>
            <w:tcW w:w="992" w:type="dxa"/>
          </w:tcPr>
          <w:p w:rsidR="00450F41" w:rsidRPr="00B34D7D" w:rsidRDefault="00450F41" w:rsidP="00A73664">
            <w:pPr>
              <w:jc w:val="center"/>
            </w:pPr>
          </w:p>
          <w:p w:rsidR="00450F41" w:rsidRPr="00B34D7D" w:rsidRDefault="00450F41" w:rsidP="00A73664">
            <w:pPr>
              <w:jc w:val="center"/>
            </w:pPr>
          </w:p>
          <w:p w:rsidR="00450F41" w:rsidRPr="00B34D7D" w:rsidRDefault="00450F41" w:rsidP="00A73664">
            <w:pPr>
              <w:jc w:val="center"/>
            </w:pPr>
          </w:p>
          <w:p w:rsidR="00450F41" w:rsidRPr="00B34D7D" w:rsidRDefault="00450F41" w:rsidP="00A73664">
            <w:pPr>
              <w:jc w:val="center"/>
            </w:pPr>
            <w:r w:rsidRPr="00B34D7D">
              <w:t>2640</w:t>
            </w:r>
          </w:p>
          <w:p w:rsidR="00450F41" w:rsidRPr="00B34D7D" w:rsidRDefault="00450F41" w:rsidP="00A73664">
            <w:pPr>
              <w:jc w:val="center"/>
            </w:pPr>
            <w:r w:rsidRPr="00B34D7D">
              <w:t>55,1</w:t>
            </w:r>
          </w:p>
        </w:tc>
      </w:tr>
    </w:tbl>
    <w:p w:rsidR="003A6692" w:rsidRPr="003A6692" w:rsidRDefault="003A6692" w:rsidP="003A6692">
      <w:pPr>
        <w:pStyle w:val="a3"/>
        <w:ind w:left="1080" w:hanging="371"/>
        <w:jc w:val="both"/>
        <w:rPr>
          <w:sz w:val="20"/>
          <w:szCs w:val="20"/>
          <w:lang w:val="en-US"/>
        </w:rPr>
      </w:pPr>
      <w:r>
        <w:rPr>
          <w:sz w:val="20"/>
          <w:szCs w:val="20"/>
          <w:lang w:val="ru-RU"/>
        </w:rPr>
        <w:t>*</w:t>
      </w:r>
      <w:proofErr w:type="spellStart"/>
      <w:r w:rsidRPr="003A6692">
        <w:rPr>
          <w:sz w:val="20"/>
          <w:szCs w:val="20"/>
          <w:lang w:val="ru-RU"/>
        </w:rPr>
        <w:t>Складено</w:t>
      </w:r>
      <w:proofErr w:type="spellEnd"/>
      <w:r w:rsidRPr="003A6692">
        <w:rPr>
          <w:sz w:val="20"/>
          <w:szCs w:val="20"/>
          <w:lang w:val="ru-RU"/>
        </w:rPr>
        <w:t xml:space="preserve"> на основ</w:t>
      </w:r>
      <w:r w:rsidRPr="003A6692">
        <w:rPr>
          <w:sz w:val="20"/>
          <w:szCs w:val="20"/>
        </w:rPr>
        <w:t>і</w:t>
      </w:r>
      <w:r>
        <w:rPr>
          <w:sz w:val="20"/>
          <w:szCs w:val="20"/>
        </w:rPr>
        <w:t xml:space="preserve"> </w:t>
      </w:r>
      <w:r>
        <w:rPr>
          <w:sz w:val="20"/>
          <w:szCs w:val="20"/>
          <w:lang w:val="en-US"/>
        </w:rPr>
        <w:t>[</w:t>
      </w:r>
      <w:r w:rsidR="004C25E3">
        <w:rPr>
          <w:sz w:val="20"/>
          <w:szCs w:val="20"/>
        </w:rPr>
        <w:t>2</w:t>
      </w:r>
      <w:r>
        <w:rPr>
          <w:sz w:val="20"/>
          <w:szCs w:val="20"/>
          <w:lang w:val="en-US"/>
        </w:rPr>
        <w:t>]</w:t>
      </w:r>
    </w:p>
    <w:p w:rsidR="00450F41" w:rsidRDefault="00450F41" w:rsidP="00450F41">
      <w:pPr>
        <w:ind w:firstLine="720"/>
        <w:jc w:val="both"/>
        <w:rPr>
          <w:sz w:val="20"/>
          <w:szCs w:val="20"/>
        </w:rPr>
      </w:pPr>
      <w:r w:rsidRPr="00B34D7D">
        <w:t>*</w:t>
      </w:r>
      <w:r w:rsidR="003A6692">
        <w:rPr>
          <w:lang w:val="ru-RU"/>
        </w:rPr>
        <w:t>*</w:t>
      </w:r>
      <w:r w:rsidRPr="00955A0F">
        <w:rPr>
          <w:sz w:val="20"/>
          <w:szCs w:val="20"/>
        </w:rPr>
        <w:t>розрахований авторами на основі місячних фактичних розмірів прожиткового мінімуму, визначених Міністерстерством соціальної політики України</w:t>
      </w:r>
    </w:p>
    <w:p w:rsidR="00307BFD" w:rsidRPr="00B34D7D" w:rsidRDefault="00307BFD" w:rsidP="00450F41">
      <w:pPr>
        <w:ind w:firstLine="720"/>
        <w:jc w:val="both"/>
      </w:pPr>
      <w:r>
        <w:rPr>
          <w:sz w:val="20"/>
          <w:szCs w:val="20"/>
        </w:rPr>
        <w:t>**</w:t>
      </w:r>
      <w:r w:rsidR="003A6692">
        <w:rPr>
          <w:sz w:val="20"/>
          <w:szCs w:val="20"/>
          <w:lang w:val="ru-RU"/>
        </w:rPr>
        <w:t>*</w:t>
      </w:r>
      <w:r>
        <w:rPr>
          <w:sz w:val="20"/>
          <w:szCs w:val="20"/>
        </w:rPr>
        <w:t xml:space="preserve"> розміру вказаного у відповідній колонці</w:t>
      </w:r>
    </w:p>
    <w:p w:rsidR="00450F41" w:rsidRPr="00B34D7D" w:rsidRDefault="00450F41" w:rsidP="00450F41">
      <w:pPr>
        <w:spacing w:line="360" w:lineRule="auto"/>
        <w:ind w:firstLine="720"/>
        <w:jc w:val="both"/>
      </w:pPr>
    </w:p>
    <w:p w:rsidR="006418AC" w:rsidRPr="00DD66E5" w:rsidRDefault="00C841AC" w:rsidP="00DD66E5">
      <w:pPr>
        <w:ind w:firstLine="851"/>
        <w:jc w:val="both"/>
      </w:pPr>
      <w:r w:rsidRPr="00DD66E5">
        <w:t xml:space="preserve">Зменшення на 8,9 в.п. частки бідного населення за загальними доходами </w:t>
      </w:r>
      <w:r w:rsidR="009D2D64" w:rsidRPr="00DD66E5">
        <w:t xml:space="preserve"> відбулось в основному через суттєве збільшення обсягу безготівкових житлових субсидій населенню (з 42,38 грн у середньому за місяць у розрахунку на одне домогосподарство у 1 кварталі 2015 р. </w:t>
      </w:r>
      <w:r w:rsidR="00596DA2" w:rsidRPr="00DD66E5">
        <w:t xml:space="preserve">до 430,70 </w:t>
      </w:r>
      <w:r w:rsidR="009D2D64" w:rsidRPr="00DD66E5">
        <w:t>грн</w:t>
      </w:r>
      <w:r w:rsidR="00937FAC" w:rsidRPr="00DD66E5">
        <w:t xml:space="preserve"> у 1 кварталі 2016 р.</w:t>
      </w:r>
      <w:r w:rsidR="009D2D64" w:rsidRPr="00DD66E5">
        <w:t>)</w:t>
      </w:r>
      <w:r w:rsidR="006418AC" w:rsidRPr="00DD66E5">
        <w:t xml:space="preserve">. </w:t>
      </w:r>
      <w:r w:rsidR="00937FAC" w:rsidRPr="00DD66E5">
        <w:t>Проте з</w:t>
      </w:r>
      <w:r w:rsidR="006418AC" w:rsidRPr="00DD66E5">
        <w:t>а грошовими доходами у 1 кварталі</w:t>
      </w:r>
      <w:r w:rsidR="00450F41" w:rsidRPr="00DD66E5">
        <w:t xml:space="preserve"> </w:t>
      </w:r>
      <w:r w:rsidR="006418AC" w:rsidRPr="00DD66E5">
        <w:t xml:space="preserve"> 2016 р. більше 72 % населення знаходились за межею бідності</w:t>
      </w:r>
      <w:r w:rsidR="006418AC" w:rsidRPr="00DD66E5">
        <w:rPr>
          <w:rStyle w:val="a8"/>
        </w:rPr>
        <w:footnoteReference w:id="2"/>
      </w:r>
      <w:r w:rsidR="00D92DE2" w:rsidRPr="00DD66E5">
        <w:t>.</w:t>
      </w:r>
    </w:p>
    <w:p w:rsidR="00423453" w:rsidRPr="00DD66E5" w:rsidRDefault="00423453" w:rsidP="00DD66E5">
      <w:pPr>
        <w:ind w:firstLine="720"/>
        <w:jc w:val="both"/>
      </w:pPr>
      <w:r w:rsidRPr="00DD66E5">
        <w:t>Встановлення розміру прожиткового мінімуму для працездатної особи і мінімальної заробітної плати на рівні 47,85 % фактичного прожиткового мінімуму</w:t>
      </w:r>
      <w:r w:rsidRPr="00DD66E5">
        <w:rPr>
          <w:rStyle w:val="a8"/>
        </w:rPr>
        <w:footnoteReference w:id="3"/>
      </w:r>
      <w:r w:rsidRPr="00DD66E5">
        <w:t xml:space="preserve"> посилює соціальне невдоволення, зниження ділової активності, підвищує ризики виникнення соціального бунту та викликає зневіру у професійних і реформаторських здібностях влади, збільшуючи тим самим можливість несприйняття суспільством будь-яких реформ. Так за результатами соціологічного опитування</w:t>
      </w:r>
      <w:r w:rsidR="00D15419" w:rsidRPr="00D15419">
        <w:rPr>
          <w:lang w:val="ru-RU"/>
        </w:rPr>
        <w:t xml:space="preserve"> [</w:t>
      </w:r>
      <w:r w:rsidR="004C25E3" w:rsidRPr="004C25E3">
        <w:rPr>
          <w:lang w:val="ru-RU"/>
        </w:rPr>
        <w:t>3</w:t>
      </w:r>
      <w:r w:rsidR="00D15419" w:rsidRPr="00D15419">
        <w:rPr>
          <w:lang w:val="ru-RU"/>
        </w:rPr>
        <w:t>]</w:t>
      </w:r>
      <w:r w:rsidRPr="00DD66E5">
        <w:t xml:space="preserve"> щодо оцінки реформ в Україні 48,4 % опитаних вважають, що «не зроблено нічого», а ще 24,6 % - що «зроб</w:t>
      </w:r>
      <w:r w:rsidR="00E56D6A" w:rsidRPr="00DD66E5">
        <w:t>лено приблизно 10 </w:t>
      </w:r>
      <w:r w:rsidRPr="00DD66E5">
        <w:t xml:space="preserve">%». </w:t>
      </w:r>
    </w:p>
    <w:p w:rsidR="004D70C1" w:rsidRPr="00DD66E5" w:rsidRDefault="00DD450B" w:rsidP="00DD66E5">
      <w:pPr>
        <w:ind w:firstLine="720"/>
        <w:jc w:val="both"/>
      </w:pPr>
      <w:r w:rsidRPr="00DD66E5">
        <w:t>Крім того, в Україні продовжує застосовуватись такий показник, як «рівень забезпечення прожиткового мінімуму», який суперечить українському законодавству і протиправно зменшує розмір соціальної допомоги.</w:t>
      </w:r>
    </w:p>
    <w:p w:rsidR="00B9212D" w:rsidRPr="00DD66E5" w:rsidRDefault="00B9212D" w:rsidP="00DD66E5">
      <w:pPr>
        <w:ind w:firstLine="720"/>
        <w:jc w:val="both"/>
      </w:pPr>
      <w:r w:rsidRPr="00DD66E5">
        <w:t xml:space="preserve">Безумовно різке підвищення розмірів мінімальних </w:t>
      </w:r>
      <w:r w:rsidR="000C68A7" w:rsidRPr="00DD66E5">
        <w:t xml:space="preserve">соціальних </w:t>
      </w:r>
      <w:r w:rsidRPr="00DD66E5">
        <w:t xml:space="preserve">стандартів та гарантій в умовах </w:t>
      </w:r>
      <w:r w:rsidR="000C68A7" w:rsidRPr="00DD66E5">
        <w:t>обмеженості фінансових ресурсів держави не є можливим, оскільки призведе до</w:t>
      </w:r>
      <w:r w:rsidR="00803FD4" w:rsidRPr="00DD66E5">
        <w:t xml:space="preserve"> нарощування обсягу державного боргу, </w:t>
      </w:r>
      <w:r w:rsidR="000C68A7" w:rsidRPr="00DD66E5">
        <w:t>збільшення інфляції</w:t>
      </w:r>
      <w:r w:rsidR="00803FD4" w:rsidRPr="00DD66E5">
        <w:t xml:space="preserve">, зниження реальних доходів населення </w:t>
      </w:r>
      <w:r w:rsidR="00CE5D15" w:rsidRPr="00DD66E5">
        <w:t xml:space="preserve">та спричинить </w:t>
      </w:r>
      <w:r w:rsidR="00803FD4" w:rsidRPr="00DD66E5">
        <w:t>загостр</w:t>
      </w:r>
      <w:r w:rsidR="00CE5D15" w:rsidRPr="00DD66E5">
        <w:t xml:space="preserve">ення </w:t>
      </w:r>
      <w:r w:rsidR="00B462E0" w:rsidRPr="00DD66E5">
        <w:t>інших соціальних проблем.</w:t>
      </w:r>
    </w:p>
    <w:p w:rsidR="00E85858" w:rsidRPr="00E172E4" w:rsidRDefault="003F6776" w:rsidP="00DD66E5">
      <w:pPr>
        <w:ind w:firstLine="720"/>
        <w:jc w:val="both"/>
        <w:rPr>
          <w:lang w:val="ru-RU"/>
        </w:rPr>
      </w:pPr>
      <w:r w:rsidRPr="00DD66E5">
        <w:t>З</w:t>
      </w:r>
      <w:r w:rsidR="00A54105" w:rsidRPr="00DD66E5">
        <w:t>аниження розміру мінімальної заробітної плати та інших соціальних стандартів та гаранті</w:t>
      </w:r>
      <w:r w:rsidRPr="00DD66E5">
        <w:t>й</w:t>
      </w:r>
      <w:r w:rsidR="00A54105" w:rsidRPr="00DD66E5">
        <w:t xml:space="preserve"> </w:t>
      </w:r>
      <w:r w:rsidRPr="00DD66E5">
        <w:t xml:space="preserve">відбулося </w:t>
      </w:r>
      <w:r w:rsidR="001C46BA" w:rsidRPr="00DD66E5">
        <w:t>на тлі</w:t>
      </w:r>
      <w:r w:rsidR="00A54105" w:rsidRPr="00DD66E5">
        <w:t xml:space="preserve"> </w:t>
      </w:r>
      <w:r w:rsidR="00CE2503" w:rsidRPr="00DD66E5">
        <w:t>істотн</w:t>
      </w:r>
      <w:r w:rsidR="001C46BA" w:rsidRPr="00DD66E5">
        <w:t>ого</w:t>
      </w:r>
      <w:r w:rsidR="00CE2503" w:rsidRPr="00DD66E5">
        <w:t xml:space="preserve"> підвищення </w:t>
      </w:r>
      <w:r w:rsidR="00A54105" w:rsidRPr="00DD66E5">
        <w:t>цін на більшість товарів і послуг у 2015 р. (на продукти харчування (40,1%), на утримання житла і комунальні послуги (103,0 %), на побутову техніку і п</w:t>
      </w:r>
      <w:r w:rsidR="00E56D6A" w:rsidRPr="00DD66E5">
        <w:t>редмети домашнього вжитку (36,4 </w:t>
      </w:r>
      <w:r w:rsidR="00A54105" w:rsidRPr="00DD66E5">
        <w:t>%), на охорону здоров’я (2</w:t>
      </w:r>
      <w:r w:rsidR="00E56D6A" w:rsidRPr="00DD66E5">
        <w:t>9,1 </w:t>
      </w:r>
      <w:r w:rsidR="00A54105" w:rsidRPr="00DD66E5">
        <w:t xml:space="preserve">%), </w:t>
      </w:r>
      <w:r w:rsidR="00E56D6A" w:rsidRPr="00DD66E5">
        <w:t>на освіту (24,2 </w:t>
      </w:r>
      <w:r w:rsidR="001C46BA" w:rsidRPr="00DD66E5">
        <w:t>%), на відпочинок і культуру (37,9</w:t>
      </w:r>
      <w:r w:rsidR="00E56D6A" w:rsidRPr="00DD66E5">
        <w:t> </w:t>
      </w:r>
      <w:r w:rsidR="001C46BA" w:rsidRPr="00DD66E5">
        <w:t xml:space="preserve">%). </w:t>
      </w:r>
      <w:r w:rsidRPr="00DD66E5">
        <w:t xml:space="preserve">При цьому реальні доходи населення знизились на </w:t>
      </w:r>
      <w:r w:rsidR="001C46BA" w:rsidRPr="00DD66E5">
        <w:t>11,5 % у 2014 р. порівняно з 2013 р., у 3 кварталі 2015 р. сталовили лише 7</w:t>
      </w:r>
      <w:r w:rsidR="00B9212D" w:rsidRPr="00DD66E5">
        <w:t>7</w:t>
      </w:r>
      <w:r w:rsidR="001C46BA" w:rsidRPr="00DD66E5">
        <w:t>,</w:t>
      </w:r>
      <w:r w:rsidR="00B9212D" w:rsidRPr="00DD66E5">
        <w:t>5</w:t>
      </w:r>
      <w:r w:rsidR="001C46BA" w:rsidRPr="00DD66E5">
        <w:t xml:space="preserve"> % відповідного показника аналогічного періоду 2014 р.</w:t>
      </w:r>
      <w:r w:rsidR="00B9212D" w:rsidRPr="00DD66E5">
        <w:t>, а у 4 кварталі 2015 р. – 84,0 %.</w:t>
      </w:r>
      <w:r w:rsidR="001C46BA" w:rsidRPr="00DD66E5">
        <w:t xml:space="preserve"> </w:t>
      </w:r>
      <w:r w:rsidR="00933A84" w:rsidRPr="00DD66E5">
        <w:t xml:space="preserve">Намагання уряду </w:t>
      </w:r>
      <w:r w:rsidR="006A3201" w:rsidRPr="00DD66E5">
        <w:t xml:space="preserve">компенсувати збільшення тарифів на житлово-комунальні послуги через спрощену процедуру </w:t>
      </w:r>
      <w:r w:rsidR="001C659B" w:rsidRPr="00DD66E5">
        <w:t xml:space="preserve">надання житлових субсидій дало відчутні результати. У 2015 р. за субсидіями звернулося 5929,1 тис. сімей (отримали 91,1 %), що у 3,5 рази більше ніж у 2014 році.  Однак, це спричинило додаткове </w:t>
      </w:r>
      <w:r w:rsidR="0009062B" w:rsidRPr="00DD66E5">
        <w:t>навантаження на бюджет</w:t>
      </w:r>
      <w:r w:rsidR="00A7790E" w:rsidRPr="00DD66E5">
        <w:t xml:space="preserve"> в сумі 2346 млн. грн.</w:t>
      </w:r>
      <w:r w:rsidR="00CF1D8D" w:rsidRPr="00DD66E5">
        <w:t>,</w:t>
      </w:r>
      <w:r w:rsidR="00313506" w:rsidRPr="00DD66E5">
        <w:t xml:space="preserve"> не сприяло економії споживання газу</w:t>
      </w:r>
      <w:r w:rsidR="00CF1D8D" w:rsidRPr="00DD66E5">
        <w:t xml:space="preserve"> і </w:t>
      </w:r>
      <w:r w:rsidR="006561F5" w:rsidRPr="00DD66E5">
        <w:t>збільшило рівень недовіри до</w:t>
      </w:r>
      <w:r w:rsidR="00E85858" w:rsidRPr="00DD66E5">
        <w:t xml:space="preserve"> української влади (рис. 1).</w:t>
      </w:r>
    </w:p>
    <w:p w:rsidR="004C25E3" w:rsidRPr="00E172E4" w:rsidRDefault="004C25E3" w:rsidP="00DD66E5">
      <w:pPr>
        <w:ind w:firstLine="720"/>
        <w:jc w:val="both"/>
        <w:rPr>
          <w:lang w:val="ru-RU"/>
        </w:rPr>
      </w:pPr>
    </w:p>
    <w:p w:rsidR="004665EB" w:rsidRPr="00B34D7D" w:rsidRDefault="004665EB" w:rsidP="00D55B71">
      <w:pPr>
        <w:spacing w:line="360" w:lineRule="auto"/>
        <w:ind w:firstLine="720"/>
        <w:jc w:val="both"/>
      </w:pPr>
      <w:r w:rsidRPr="00B34D7D">
        <w:rPr>
          <w:noProof/>
        </w:rPr>
        <w:drawing>
          <wp:inline distT="0" distB="0" distL="0" distR="0" wp14:anchorId="3E800947" wp14:editId="50F0B49F">
            <wp:extent cx="5486400" cy="2224585"/>
            <wp:effectExtent l="0" t="0" r="19050" b="2349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665EB" w:rsidRPr="00DD66E5" w:rsidRDefault="00E85858" w:rsidP="00DD66E5">
      <w:pPr>
        <w:ind w:firstLine="709"/>
        <w:jc w:val="center"/>
        <w:rPr>
          <w:lang w:eastAsia="en-US"/>
        </w:rPr>
      </w:pPr>
      <w:r w:rsidRPr="00DD66E5">
        <w:t xml:space="preserve"> </w:t>
      </w:r>
      <w:r w:rsidR="004665EB" w:rsidRPr="00DD66E5">
        <w:t xml:space="preserve">Рис. 1. </w:t>
      </w:r>
      <w:r w:rsidR="004665EB" w:rsidRPr="00DD66E5">
        <w:rPr>
          <w:lang w:eastAsia="en-US"/>
        </w:rPr>
        <w:t xml:space="preserve">Динаміка рейтингів довіри-недовіри до державних інституцій </w:t>
      </w:r>
    </w:p>
    <w:p w:rsidR="004665EB" w:rsidRPr="00DD66E5" w:rsidRDefault="004665EB" w:rsidP="00DD66E5">
      <w:pPr>
        <w:ind w:firstLine="709"/>
        <w:jc w:val="center"/>
        <w:rPr>
          <w:lang w:eastAsia="en-US"/>
        </w:rPr>
      </w:pPr>
      <w:r w:rsidRPr="00DD66E5">
        <w:rPr>
          <w:lang w:eastAsia="en-US"/>
        </w:rPr>
        <w:t>(2013-2015 рр.)</w:t>
      </w:r>
      <w:r w:rsidR="004C25E3" w:rsidRPr="00E172E4">
        <w:rPr>
          <w:lang w:val="ru-RU" w:eastAsia="en-US"/>
        </w:rPr>
        <w:t>*</w:t>
      </w:r>
      <w:r w:rsidRPr="00DD66E5">
        <w:rPr>
          <w:lang w:eastAsia="en-US"/>
        </w:rPr>
        <w:t>, %</w:t>
      </w:r>
    </w:p>
    <w:p w:rsidR="003A07F5" w:rsidRPr="00E172E4" w:rsidRDefault="00D15419" w:rsidP="00D15419">
      <w:pPr>
        <w:ind w:firstLine="709"/>
        <w:jc w:val="both"/>
        <w:rPr>
          <w:sz w:val="20"/>
          <w:szCs w:val="20"/>
          <w:lang w:val="ru-RU"/>
        </w:rPr>
      </w:pPr>
      <w:r w:rsidRPr="00D15419">
        <w:rPr>
          <w:sz w:val="20"/>
          <w:szCs w:val="20"/>
        </w:rPr>
        <w:t xml:space="preserve">*побудовано на основі </w:t>
      </w:r>
      <w:r w:rsidRPr="00E172E4">
        <w:rPr>
          <w:sz w:val="20"/>
          <w:szCs w:val="20"/>
          <w:lang w:val="ru-RU"/>
        </w:rPr>
        <w:t>[</w:t>
      </w:r>
      <w:r w:rsidR="004C25E3" w:rsidRPr="00E172E4">
        <w:rPr>
          <w:sz w:val="20"/>
          <w:szCs w:val="20"/>
          <w:lang w:val="ru-RU"/>
        </w:rPr>
        <w:t>3</w:t>
      </w:r>
      <w:r w:rsidRPr="00E172E4">
        <w:rPr>
          <w:sz w:val="20"/>
          <w:szCs w:val="20"/>
          <w:lang w:val="ru-RU"/>
        </w:rPr>
        <w:t>]</w:t>
      </w:r>
    </w:p>
    <w:p w:rsidR="00D15419" w:rsidRPr="00E172E4" w:rsidRDefault="00D15419" w:rsidP="00D15419">
      <w:pPr>
        <w:ind w:firstLine="709"/>
        <w:jc w:val="both"/>
        <w:rPr>
          <w:sz w:val="20"/>
          <w:szCs w:val="20"/>
          <w:lang w:val="ru-RU"/>
        </w:rPr>
      </w:pPr>
    </w:p>
    <w:p w:rsidR="00616F5F" w:rsidRPr="00DD66E5" w:rsidRDefault="00616F5F" w:rsidP="00DD66E5">
      <w:pPr>
        <w:ind w:firstLine="709"/>
        <w:jc w:val="both"/>
        <w:rPr>
          <w:rFonts w:eastAsiaTheme="minorHAnsi"/>
          <w:color w:val="000000"/>
          <w:shd w:val="clear" w:color="auto" w:fill="FFFFFF"/>
          <w:lang w:eastAsia="en-US"/>
        </w:rPr>
      </w:pPr>
      <w:r w:rsidRPr="00DD66E5">
        <w:rPr>
          <w:rFonts w:eastAsiaTheme="minorHAnsi"/>
          <w:color w:val="000000"/>
          <w:shd w:val="clear" w:color="auto" w:fill="FFFFFF"/>
          <w:lang w:eastAsia="en-US"/>
        </w:rPr>
        <w:t>Не применшуючи позитивного впливу використання механізму житлових субсидій в умовах різкого підвищення цін на житлово-комунальні послуги та зменшення реальних доходів населення, хочемо звернути увагу і на негативні наслідки його застосування. Зокрема, зростання кількості одержувачів субсидій на житлово-комунальні послуги та придбання твердого палива і скрапленого газу, а також зростання самих виплат на ці цілі в подальшому призведе до збільшення навантаження на бюджет у 2016 р. до 65 млрд грн. за умови, що кількість одержувачів субсидій залишиться на рівні кінця опалювального сезону 2015 – 2016 рр., а середній розмір субсидії, наданої у безготівковій формі становитиме з жовтня по грудень 2016 р. не більше 1290,7</w:t>
      </w:r>
      <w:r w:rsidRPr="00DD66E5">
        <w:rPr>
          <w:rStyle w:val="a8"/>
          <w:rFonts w:eastAsiaTheme="minorHAnsi"/>
          <w:color w:val="000000"/>
          <w:shd w:val="clear" w:color="auto" w:fill="FFFFFF"/>
          <w:lang w:eastAsia="en-US"/>
        </w:rPr>
        <w:footnoteReference w:id="4"/>
      </w:r>
      <w:r w:rsidRPr="00DD66E5">
        <w:rPr>
          <w:rFonts w:eastAsiaTheme="minorHAnsi"/>
          <w:color w:val="000000"/>
          <w:shd w:val="clear" w:color="auto" w:fill="FFFFFF"/>
          <w:lang w:eastAsia="en-US"/>
        </w:rPr>
        <w:t xml:space="preserve"> грн. </w:t>
      </w:r>
    </w:p>
    <w:p w:rsidR="00616F5F" w:rsidRPr="00DD66E5" w:rsidRDefault="00616F5F" w:rsidP="00DD66E5">
      <w:pPr>
        <w:ind w:firstLine="709"/>
        <w:jc w:val="both"/>
        <w:rPr>
          <w:rFonts w:eastAsiaTheme="minorHAnsi"/>
          <w:color w:val="000000"/>
          <w:shd w:val="clear" w:color="auto" w:fill="FFFFFF"/>
          <w:lang w:eastAsia="en-US"/>
        </w:rPr>
      </w:pPr>
      <w:r w:rsidRPr="00DD66E5">
        <w:rPr>
          <w:rFonts w:eastAsiaTheme="minorHAnsi"/>
          <w:color w:val="000000"/>
          <w:shd w:val="clear" w:color="auto" w:fill="FFFFFF"/>
          <w:lang w:eastAsia="en-US"/>
        </w:rPr>
        <w:t xml:space="preserve">Таке додаткове навантаження може виявитися непосильною ношею для Державного бюджету. Адже у січні – липні 2016 р. до загального фонду Державного бюджету надійшло 284,0 млрд грн, що на 11,7 млрд грн. менше </w:t>
      </w:r>
      <w:r w:rsidR="00307BFD">
        <w:rPr>
          <w:rFonts w:eastAsiaTheme="minorHAnsi"/>
          <w:color w:val="000000"/>
          <w:shd w:val="clear" w:color="auto" w:fill="FFFFFF"/>
          <w:lang w:eastAsia="en-US"/>
        </w:rPr>
        <w:t>запланового розміру</w:t>
      </w:r>
      <w:r w:rsidRPr="00DD66E5">
        <w:rPr>
          <w:rFonts w:eastAsiaTheme="minorHAnsi"/>
          <w:color w:val="000000"/>
          <w:shd w:val="clear" w:color="auto" w:fill="FFFFFF"/>
          <w:lang w:eastAsia="en-US"/>
        </w:rPr>
        <w:t xml:space="preserve">. При цьому зростання видатків Державного бюджету України порівняно з аналогічними періодами 2015 р. відбувається </w:t>
      </w:r>
      <w:commentRangeStart w:id="4"/>
      <w:r w:rsidRPr="00DD66E5">
        <w:rPr>
          <w:rFonts w:eastAsiaTheme="minorHAnsi"/>
          <w:color w:val="000000"/>
          <w:shd w:val="clear" w:color="auto" w:fill="FFFFFF"/>
          <w:lang w:eastAsia="en-US"/>
        </w:rPr>
        <w:t xml:space="preserve">швидшими </w:t>
      </w:r>
      <w:commentRangeEnd w:id="4"/>
      <w:r w:rsidR="00DC3B26">
        <w:rPr>
          <w:rStyle w:val="ac"/>
        </w:rPr>
        <w:commentReference w:id="4"/>
      </w:r>
      <w:r w:rsidRPr="00DD66E5">
        <w:rPr>
          <w:rFonts w:eastAsiaTheme="minorHAnsi"/>
          <w:color w:val="000000"/>
          <w:shd w:val="clear" w:color="auto" w:fill="FFFFFF"/>
          <w:lang w:eastAsia="en-US"/>
        </w:rPr>
        <w:t>темпами, ніж доходів. Так при зростанні доходів Державного бюджету у 1 кварталі 2016 р. на 13 % порівняно з 1 кварталом 2015 р., видатки в аналогічному періоді збільшились на 28,8 %; за 2 квартали: доходи збільшились на 7,8 %, а видатки – на 22,2 %, за січень-липень: доходи збільшились на 3,8 %, видатки – на 21 %</w:t>
      </w:r>
      <w:r w:rsidR="004C25E3" w:rsidRPr="004C25E3">
        <w:rPr>
          <w:rFonts w:eastAsiaTheme="minorHAnsi"/>
          <w:color w:val="000000"/>
          <w:shd w:val="clear" w:color="auto" w:fill="FFFFFF"/>
          <w:lang w:val="ru-RU" w:eastAsia="en-US"/>
        </w:rPr>
        <w:t xml:space="preserve"> [4]</w:t>
      </w:r>
      <w:r w:rsidRPr="00DD66E5">
        <w:rPr>
          <w:rFonts w:eastAsiaTheme="minorHAnsi"/>
          <w:color w:val="000000"/>
          <w:shd w:val="clear" w:color="auto" w:fill="FFFFFF"/>
          <w:lang w:eastAsia="en-US"/>
        </w:rPr>
        <w:t>. Із зазначеного констатуємо факт уповільнення темпу зростання доходів загального фонду бюджету, як наслідок зниження темпів інфляції та скорочення доходів, які мали місце у 2015-му (наприклад, скасування плати за видачу ліцензій на користування радіочастотним ресурсом, а також відсутності коштів, що перараховуються Національним банком України відповідно до Закону України «Про національний банк України»). Має місце і невиконання плану майже на 8 млрд грн. по надходженнях від ренти за користування надрами.</w:t>
      </w:r>
    </w:p>
    <w:p w:rsidR="00D864BC" w:rsidRPr="00DD66E5" w:rsidRDefault="00616F5F" w:rsidP="00DD66E5">
      <w:pPr>
        <w:ind w:firstLine="709"/>
        <w:jc w:val="both"/>
        <w:rPr>
          <w:rFonts w:eastAsiaTheme="minorHAnsi"/>
          <w:color w:val="000000"/>
          <w:shd w:val="clear" w:color="auto" w:fill="FFFFFF"/>
          <w:lang w:eastAsia="en-US"/>
        </w:rPr>
      </w:pPr>
      <w:r w:rsidRPr="00DD66E5">
        <w:rPr>
          <w:rFonts w:eastAsiaTheme="minorHAnsi"/>
          <w:color w:val="000000"/>
          <w:shd w:val="clear" w:color="auto" w:fill="FFFFFF"/>
          <w:lang w:eastAsia="en-US"/>
        </w:rPr>
        <w:t>Таким чином, уповільнення темпів зростання доходів Державного бюджету та збільшення потреби в бюджетних коштах унаслідок збільшення кількості домогосподарств, яким нараховано житлову субсидію та обсягу зазначеного виду допомоги може призвести до збільшення дефіциту Державного бюджету України, що негативно вплине на  виконання видаткової частини бюджету. У кінцевому підсумку зростаючі видатки на субсидування населення доведеться покривати за рахунок зменшення інших видатків, в тому числі й тих, які могли б бути використані на програми енергозбереження та енергоефективності.</w:t>
      </w:r>
    </w:p>
    <w:p w:rsidR="00D864BC" w:rsidRPr="00DD66E5" w:rsidRDefault="00DB278B" w:rsidP="00DD66E5">
      <w:pPr>
        <w:ind w:firstLine="709"/>
        <w:jc w:val="both"/>
        <w:rPr>
          <w:rFonts w:eastAsiaTheme="minorHAnsi"/>
          <w:color w:val="000000"/>
          <w:shd w:val="clear" w:color="auto" w:fill="FFFFFF"/>
          <w:lang w:eastAsia="en-US"/>
        </w:rPr>
      </w:pPr>
      <w:r w:rsidRPr="00DD66E5">
        <w:rPr>
          <w:rFonts w:eastAsiaTheme="minorHAnsi"/>
          <w:color w:val="000000"/>
          <w:shd w:val="clear" w:color="auto" w:fill="FFFFFF"/>
          <w:lang w:eastAsia="en-US"/>
        </w:rPr>
        <w:t>Не дода</w:t>
      </w:r>
      <w:r w:rsidR="00D864BC" w:rsidRPr="00DD66E5">
        <w:rPr>
          <w:rFonts w:eastAsiaTheme="minorHAnsi"/>
          <w:color w:val="000000"/>
          <w:shd w:val="clear" w:color="auto" w:fill="FFFFFF"/>
          <w:lang w:eastAsia="en-US"/>
        </w:rPr>
        <w:t>є</w:t>
      </w:r>
      <w:r w:rsidRPr="00DD66E5">
        <w:rPr>
          <w:rFonts w:eastAsiaTheme="minorHAnsi"/>
          <w:color w:val="000000"/>
          <w:shd w:val="clear" w:color="auto" w:fill="FFFFFF"/>
          <w:lang w:eastAsia="en-US"/>
        </w:rPr>
        <w:t xml:space="preserve"> оптимізму і </w:t>
      </w:r>
      <w:r w:rsidR="00D864BC" w:rsidRPr="00DD66E5">
        <w:rPr>
          <w:rFonts w:eastAsiaTheme="minorHAnsi"/>
          <w:color w:val="000000"/>
          <w:shd w:val="clear" w:color="auto" w:fill="FFFFFF"/>
          <w:lang w:eastAsia="en-US"/>
        </w:rPr>
        <w:t>динаміка</w:t>
      </w:r>
      <w:r w:rsidRPr="00DD66E5">
        <w:rPr>
          <w:rFonts w:eastAsiaTheme="minorHAnsi"/>
          <w:color w:val="000000"/>
          <w:shd w:val="clear" w:color="auto" w:fill="FFFFFF"/>
          <w:lang w:eastAsia="en-US"/>
        </w:rPr>
        <w:t xml:space="preserve"> постійно зростаюч</w:t>
      </w:r>
      <w:r w:rsidR="00D864BC" w:rsidRPr="00DD66E5">
        <w:rPr>
          <w:rFonts w:eastAsiaTheme="minorHAnsi"/>
          <w:color w:val="000000"/>
          <w:shd w:val="clear" w:color="auto" w:fill="FFFFFF"/>
          <w:lang w:eastAsia="en-US"/>
        </w:rPr>
        <w:t>их</w:t>
      </w:r>
      <w:r w:rsidRPr="00DD66E5">
        <w:rPr>
          <w:rFonts w:eastAsiaTheme="minorHAnsi"/>
          <w:color w:val="000000"/>
          <w:shd w:val="clear" w:color="auto" w:fill="FFFFFF"/>
          <w:lang w:eastAsia="en-US"/>
        </w:rPr>
        <w:t xml:space="preserve"> видатк</w:t>
      </w:r>
      <w:r w:rsidR="00D864BC" w:rsidRPr="00DD66E5">
        <w:rPr>
          <w:rFonts w:eastAsiaTheme="minorHAnsi"/>
          <w:color w:val="000000"/>
          <w:shd w:val="clear" w:color="auto" w:fill="FFFFFF"/>
          <w:lang w:eastAsia="en-US"/>
        </w:rPr>
        <w:t>ів</w:t>
      </w:r>
      <w:r w:rsidRPr="00DD66E5">
        <w:rPr>
          <w:rFonts w:eastAsiaTheme="minorHAnsi"/>
          <w:color w:val="000000"/>
          <w:shd w:val="clear" w:color="auto" w:fill="FFFFFF"/>
          <w:lang w:eastAsia="en-US"/>
        </w:rPr>
        <w:t xml:space="preserve"> </w:t>
      </w:r>
      <w:r w:rsidR="00D864BC" w:rsidRPr="00DD66E5">
        <w:rPr>
          <w:rFonts w:eastAsiaTheme="minorHAnsi"/>
          <w:color w:val="000000"/>
          <w:shd w:val="clear" w:color="auto" w:fill="FFFFFF"/>
          <w:lang w:eastAsia="en-US"/>
        </w:rPr>
        <w:t xml:space="preserve">Державного бюджету України, які повинні фінансуватись із власних джерел надходжень Пенсійного фонду, а саме видатки на покриття дефіциту коштів вказаного фонду та фінансове забезпечення виплат (пенсій, надбавок, підвищень до пенсій), призначених за відповідними пенсійними програмами. </w:t>
      </w:r>
      <w:r w:rsidR="00747C78" w:rsidRPr="00DD66E5">
        <w:rPr>
          <w:rFonts w:eastAsiaTheme="minorHAnsi"/>
          <w:color w:val="000000"/>
          <w:shd w:val="clear" w:color="auto" w:fill="FFFFFF"/>
          <w:lang w:eastAsia="en-US"/>
        </w:rPr>
        <w:t>У</w:t>
      </w:r>
      <w:r w:rsidR="00D864BC" w:rsidRPr="00DD66E5">
        <w:rPr>
          <w:rFonts w:eastAsiaTheme="minorHAnsi"/>
          <w:color w:val="000000"/>
          <w:shd w:val="clear" w:color="auto" w:fill="FFFFFF"/>
          <w:lang w:eastAsia="en-US"/>
        </w:rPr>
        <w:t xml:space="preserve"> 2016 р. </w:t>
      </w:r>
      <w:r w:rsidR="00747C78" w:rsidRPr="00DD66E5">
        <w:rPr>
          <w:rFonts w:eastAsiaTheme="minorHAnsi"/>
          <w:color w:val="000000"/>
          <w:shd w:val="clear" w:color="auto" w:fill="FFFFFF"/>
          <w:lang w:eastAsia="en-US"/>
        </w:rPr>
        <w:t xml:space="preserve">на зазначені цілі заплановано 145,4 млрд грн, а їх </w:t>
      </w:r>
      <w:r w:rsidR="00D864BC" w:rsidRPr="00DD66E5">
        <w:rPr>
          <w:rFonts w:eastAsiaTheme="minorHAnsi"/>
          <w:color w:val="000000"/>
          <w:shd w:val="clear" w:color="auto" w:fill="FFFFFF"/>
          <w:lang w:eastAsia="en-US"/>
        </w:rPr>
        <w:t xml:space="preserve">частка </w:t>
      </w:r>
      <w:r w:rsidR="00747C78" w:rsidRPr="00DD66E5">
        <w:rPr>
          <w:rFonts w:eastAsiaTheme="minorHAnsi"/>
          <w:color w:val="000000"/>
          <w:shd w:val="clear" w:color="auto" w:fill="FFFFFF"/>
          <w:lang w:eastAsia="en-US"/>
        </w:rPr>
        <w:t>у сукупності із обсягом субвенції на житлові пільги та субсидії населенню становить 28,9 % всіх видатків.</w:t>
      </w:r>
    </w:p>
    <w:p w:rsidR="003714C7" w:rsidRPr="00DD66E5" w:rsidRDefault="00747C78" w:rsidP="00DD66E5">
      <w:pPr>
        <w:ind w:firstLine="709"/>
        <w:jc w:val="both"/>
        <w:rPr>
          <w:rFonts w:eastAsiaTheme="minorHAnsi"/>
          <w:color w:val="000000"/>
          <w:shd w:val="clear" w:color="auto" w:fill="FFFFFF"/>
          <w:lang w:eastAsia="en-US"/>
        </w:rPr>
      </w:pPr>
      <w:r w:rsidRPr="00DD66E5">
        <w:rPr>
          <w:rFonts w:eastAsiaTheme="minorHAnsi"/>
          <w:color w:val="000000"/>
          <w:shd w:val="clear" w:color="auto" w:fill="FFFFFF"/>
          <w:lang w:eastAsia="en-US"/>
        </w:rPr>
        <w:t xml:space="preserve">Таким чином, майже 30% коштів Державного бюджету </w:t>
      </w:r>
      <w:r w:rsidR="004C4F4E" w:rsidRPr="00DD66E5">
        <w:rPr>
          <w:rFonts w:eastAsiaTheme="minorHAnsi"/>
          <w:color w:val="000000"/>
          <w:shd w:val="clear" w:color="auto" w:fill="FFFFFF"/>
          <w:lang w:eastAsia="en-US"/>
        </w:rPr>
        <w:t>витрачаються нераціонально, оскільки завдяки цим програмам проблеми постійно зростаючого дефіциту Пенсійного фонду України та неспроможності значної частини домогосподарств сплачувати житлово-комунальні послуги вирішуються лише частково</w:t>
      </w:r>
      <w:r w:rsidR="003714C7" w:rsidRPr="00DD66E5">
        <w:rPr>
          <w:rFonts w:eastAsiaTheme="minorHAnsi"/>
          <w:color w:val="000000"/>
          <w:shd w:val="clear" w:color="auto" w:fill="FFFFFF"/>
          <w:lang w:eastAsia="en-US"/>
        </w:rPr>
        <w:t>, що  призводить до їх загострення в наступному році.</w:t>
      </w:r>
    </w:p>
    <w:p w:rsidR="00D25756" w:rsidRPr="00DD66E5" w:rsidRDefault="003714C7" w:rsidP="00DD66E5">
      <w:pPr>
        <w:ind w:firstLine="709"/>
        <w:jc w:val="both"/>
        <w:rPr>
          <w:rFonts w:eastAsiaTheme="minorHAnsi"/>
          <w:color w:val="000000"/>
          <w:shd w:val="clear" w:color="auto" w:fill="FFFFFF"/>
          <w:lang w:eastAsia="en-US"/>
        </w:rPr>
      </w:pPr>
      <w:r w:rsidRPr="00DD66E5">
        <w:rPr>
          <w:rFonts w:eastAsiaTheme="minorHAnsi"/>
          <w:color w:val="000000"/>
          <w:shd w:val="clear" w:color="auto" w:fill="FFFFFF"/>
          <w:lang w:eastAsia="en-US"/>
        </w:rPr>
        <w:t xml:space="preserve">Основна причина виникнення цих соціальних проблем спільна – низька заробітна плата. Саме тому вважаємо, що потрібно змінити підходи до їх </w:t>
      </w:r>
      <w:r w:rsidR="00307BFD" w:rsidRPr="00307BFD">
        <w:rPr>
          <w:rFonts w:eastAsiaTheme="minorHAnsi"/>
          <w:color w:val="000000"/>
          <w:shd w:val="clear" w:color="auto" w:fill="FFFFFF"/>
          <w:lang w:eastAsia="en-US"/>
        </w:rPr>
        <w:t>розв’язання</w:t>
      </w:r>
      <w:r w:rsidRPr="00DD66E5">
        <w:rPr>
          <w:rFonts w:eastAsiaTheme="minorHAnsi"/>
          <w:color w:val="000000"/>
          <w:shd w:val="clear" w:color="auto" w:fill="FFFFFF"/>
          <w:lang w:eastAsia="en-US"/>
        </w:rPr>
        <w:t xml:space="preserve">. Зокрема, варто розробити план заходів щодо поступового підвищення державних соціальних стандартів </w:t>
      </w:r>
      <w:r w:rsidR="00D25756" w:rsidRPr="00DD66E5">
        <w:rPr>
          <w:rFonts w:eastAsiaTheme="minorHAnsi"/>
          <w:color w:val="000000"/>
          <w:shd w:val="clear" w:color="auto" w:fill="FFFFFF"/>
          <w:lang w:eastAsia="en-US"/>
        </w:rPr>
        <w:t>і</w:t>
      </w:r>
      <w:r w:rsidRPr="00DD66E5">
        <w:rPr>
          <w:rFonts w:eastAsiaTheme="minorHAnsi"/>
          <w:color w:val="000000"/>
          <w:shd w:val="clear" w:color="auto" w:fill="FFFFFF"/>
          <w:lang w:eastAsia="en-US"/>
        </w:rPr>
        <w:t xml:space="preserve"> гарантій </w:t>
      </w:r>
      <w:r w:rsidR="00D25756" w:rsidRPr="00DD66E5">
        <w:rPr>
          <w:rFonts w:eastAsiaTheme="minorHAnsi"/>
          <w:color w:val="000000"/>
          <w:shd w:val="clear" w:color="auto" w:fill="FFFFFF"/>
          <w:lang w:eastAsia="en-US"/>
        </w:rPr>
        <w:t>та зниження безробіття, особливо серед</w:t>
      </w:r>
      <w:r w:rsidR="003D53C9" w:rsidRPr="00DD66E5">
        <w:rPr>
          <w:rFonts w:eastAsiaTheme="minorHAnsi"/>
          <w:color w:val="000000"/>
          <w:shd w:val="clear" w:color="auto" w:fill="FFFFFF"/>
          <w:lang w:eastAsia="en-US"/>
        </w:rPr>
        <w:t xml:space="preserve"> молоді й </w:t>
      </w:r>
      <w:r w:rsidR="00D25756" w:rsidRPr="00DD66E5">
        <w:rPr>
          <w:rFonts w:eastAsiaTheme="minorHAnsi"/>
          <w:color w:val="000000"/>
          <w:shd w:val="clear" w:color="auto" w:fill="FFFFFF"/>
          <w:lang w:eastAsia="en-US"/>
        </w:rPr>
        <w:t>населення працездатного віку.</w:t>
      </w:r>
    </w:p>
    <w:p w:rsidR="00F52E28" w:rsidRPr="00DD66E5" w:rsidRDefault="003D53C9" w:rsidP="00DD66E5">
      <w:pPr>
        <w:ind w:firstLine="709"/>
        <w:jc w:val="both"/>
        <w:rPr>
          <w:rFonts w:eastAsiaTheme="minorHAnsi"/>
          <w:color w:val="000000"/>
          <w:shd w:val="clear" w:color="auto" w:fill="FFFFFF"/>
          <w:lang w:eastAsia="en-US"/>
        </w:rPr>
      </w:pPr>
      <w:r w:rsidRPr="00DD66E5">
        <w:rPr>
          <w:rFonts w:eastAsiaTheme="minorHAnsi"/>
          <w:color w:val="000000"/>
          <w:shd w:val="clear" w:color="auto" w:fill="FFFFFF"/>
          <w:lang w:eastAsia="en-US"/>
        </w:rPr>
        <w:t>Варто розробити програми активізації населення до самореалізації та забезпечення свого права на працю, а саме: забезпечення молоді першим робочим місцем</w:t>
      </w:r>
      <w:r w:rsidR="00F52E28" w:rsidRPr="00DD66E5">
        <w:rPr>
          <w:rFonts w:eastAsiaTheme="minorHAnsi"/>
          <w:color w:val="000000"/>
          <w:shd w:val="clear" w:color="auto" w:fill="FFFFFF"/>
          <w:lang w:eastAsia="en-US"/>
        </w:rPr>
        <w:t>;</w:t>
      </w:r>
      <w:r w:rsidRPr="00DD66E5">
        <w:rPr>
          <w:rFonts w:eastAsiaTheme="minorHAnsi"/>
          <w:color w:val="000000"/>
          <w:shd w:val="clear" w:color="auto" w:fill="FFFFFF"/>
          <w:lang w:eastAsia="en-US"/>
        </w:rPr>
        <w:t xml:space="preserve"> пільгового кредитування для </w:t>
      </w:r>
      <w:r w:rsidR="00F52E28" w:rsidRPr="00DD66E5">
        <w:rPr>
          <w:rFonts w:eastAsiaTheme="minorHAnsi"/>
          <w:color w:val="000000"/>
          <w:shd w:val="clear" w:color="auto" w:fill="FFFFFF"/>
          <w:lang w:eastAsia="en-US"/>
        </w:rPr>
        <w:t>відкриття, розширення бізнесу, модернізації виробничих потужностей;</w:t>
      </w:r>
      <w:r w:rsidRPr="00DD66E5">
        <w:rPr>
          <w:rFonts w:eastAsiaTheme="minorHAnsi"/>
          <w:color w:val="000000"/>
          <w:shd w:val="clear" w:color="auto" w:fill="FFFFFF"/>
          <w:lang w:eastAsia="en-US"/>
        </w:rPr>
        <w:t xml:space="preserve"> пільгового оподаткування підприємців-початківців тощо. </w:t>
      </w:r>
      <w:r w:rsidR="00F52E28" w:rsidRPr="00DD66E5">
        <w:rPr>
          <w:rFonts w:eastAsiaTheme="minorHAnsi"/>
          <w:color w:val="000000"/>
          <w:shd w:val="clear" w:color="auto" w:fill="FFFFFF"/>
          <w:lang w:eastAsia="en-US"/>
        </w:rPr>
        <w:t>Без розробки та реалізації заходів щодо реального забезпечення права на працю все більше соціальних проблем набудуть системного характеру і вирішити їх буде набагато важче.</w:t>
      </w:r>
    </w:p>
    <w:p w:rsidR="00BD2265" w:rsidRPr="00DD66E5" w:rsidRDefault="00BD2265" w:rsidP="00DD66E5">
      <w:pPr>
        <w:ind w:firstLine="709"/>
        <w:jc w:val="both"/>
        <w:rPr>
          <w:rFonts w:eastAsiaTheme="minorHAnsi"/>
          <w:color w:val="000000"/>
          <w:shd w:val="clear" w:color="auto" w:fill="FFFFFF"/>
          <w:lang w:eastAsia="en-US"/>
        </w:rPr>
      </w:pPr>
      <w:r w:rsidRPr="00DD66E5">
        <w:rPr>
          <w:rFonts w:eastAsiaTheme="minorHAnsi"/>
          <w:color w:val="000000"/>
          <w:shd w:val="clear" w:color="auto" w:fill="FFFFFF"/>
          <w:lang w:eastAsia="en-US"/>
        </w:rPr>
        <w:t xml:space="preserve">Що стосується програм соціальної підтримки населення, то вони мають в першу чергу бути направлені на зменшення рівня бідності. </w:t>
      </w:r>
      <w:r w:rsidR="000648DC" w:rsidRPr="00DD66E5">
        <w:rPr>
          <w:rFonts w:eastAsiaTheme="minorHAnsi"/>
          <w:color w:val="000000"/>
          <w:shd w:val="clear" w:color="auto" w:fill="FFFFFF"/>
          <w:lang w:eastAsia="en-US"/>
        </w:rPr>
        <w:t>Найбільш дієвими в цьому сенсі є: державна соціальна допомога малозабезпеченим сім</w:t>
      </w:r>
      <w:r w:rsidR="000648DC" w:rsidRPr="00DD66E5">
        <w:rPr>
          <w:rFonts w:eastAsiaTheme="minorHAnsi"/>
          <w:color w:val="000000"/>
          <w:shd w:val="clear" w:color="auto" w:fill="FFFFFF"/>
          <w:lang w:val="ru-RU" w:eastAsia="en-US"/>
        </w:rPr>
        <w:t>’</w:t>
      </w:r>
      <w:r w:rsidR="000648DC" w:rsidRPr="00DD66E5">
        <w:rPr>
          <w:rFonts w:eastAsiaTheme="minorHAnsi"/>
          <w:color w:val="000000"/>
          <w:shd w:val="clear" w:color="auto" w:fill="FFFFFF"/>
          <w:lang w:eastAsia="en-US"/>
        </w:rPr>
        <w:t>ям (умовний показник впливу на бідність у 2015 р. – 29,1 в.п. ), допомога при народженні дитини (15,5 в.п.) та допомога на дітей одиноким матерям (7,9 в.п) (рис.2)</w:t>
      </w:r>
    </w:p>
    <w:p w:rsidR="000648DC" w:rsidRDefault="000648DC" w:rsidP="00D864BC">
      <w:pPr>
        <w:spacing w:line="360" w:lineRule="auto"/>
        <w:ind w:firstLine="709"/>
        <w:jc w:val="both"/>
        <w:rPr>
          <w:rFonts w:eastAsiaTheme="minorHAnsi"/>
          <w:color w:val="000000"/>
          <w:sz w:val="28"/>
          <w:szCs w:val="28"/>
          <w:shd w:val="clear" w:color="auto" w:fill="FFFFFF"/>
          <w:lang w:eastAsia="en-US"/>
        </w:rPr>
      </w:pPr>
      <w:r>
        <w:rPr>
          <w:rFonts w:eastAsiaTheme="minorHAnsi"/>
          <w:noProof/>
          <w:color w:val="000000"/>
          <w:sz w:val="28"/>
          <w:szCs w:val="28"/>
          <w:shd w:val="clear" w:color="auto" w:fill="FFFFFF"/>
        </w:rPr>
        <w:drawing>
          <wp:inline distT="0" distB="0" distL="0" distR="0">
            <wp:extent cx="5486400" cy="1433015"/>
            <wp:effectExtent l="0" t="0" r="19050" b="1524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300B4" w:rsidRPr="008300B4" w:rsidRDefault="008300B4" w:rsidP="00DD66E5">
      <w:pPr>
        <w:shd w:val="clear" w:color="auto" w:fill="FFFFFF"/>
        <w:spacing w:before="60"/>
        <w:ind w:right="180" w:firstLine="708"/>
        <w:rPr>
          <w:color w:val="000000"/>
          <w:sz w:val="20"/>
          <w:szCs w:val="20"/>
        </w:rPr>
      </w:pPr>
      <w:r w:rsidRPr="008300B4">
        <w:rPr>
          <w:color w:val="000000"/>
          <w:sz w:val="20"/>
          <w:szCs w:val="20"/>
        </w:rPr>
        <w:t>1 – допомога при народженні дитини</w:t>
      </w:r>
    </w:p>
    <w:p w:rsidR="008300B4" w:rsidRPr="008300B4" w:rsidRDefault="008300B4" w:rsidP="00DD66E5">
      <w:pPr>
        <w:shd w:val="clear" w:color="auto" w:fill="FFFFFF"/>
        <w:spacing w:before="60"/>
        <w:ind w:right="180" w:firstLine="708"/>
        <w:rPr>
          <w:color w:val="000000"/>
          <w:sz w:val="20"/>
          <w:szCs w:val="20"/>
        </w:rPr>
      </w:pPr>
      <w:r w:rsidRPr="008300B4">
        <w:rPr>
          <w:color w:val="000000"/>
          <w:sz w:val="20"/>
          <w:szCs w:val="20"/>
        </w:rPr>
        <w:t>2 – допомога по догляду за дитиною до досягнення нею трирічного віку</w:t>
      </w:r>
    </w:p>
    <w:p w:rsidR="008300B4" w:rsidRPr="008300B4" w:rsidRDefault="008300B4" w:rsidP="00DD66E5">
      <w:pPr>
        <w:shd w:val="clear" w:color="auto" w:fill="FFFFFF"/>
        <w:spacing w:before="60"/>
        <w:ind w:right="180" w:firstLine="708"/>
        <w:rPr>
          <w:color w:val="000000"/>
          <w:sz w:val="20"/>
          <w:szCs w:val="20"/>
        </w:rPr>
      </w:pPr>
      <w:r w:rsidRPr="008300B4">
        <w:rPr>
          <w:color w:val="000000"/>
          <w:sz w:val="20"/>
          <w:szCs w:val="20"/>
        </w:rPr>
        <w:t>3 – допомога на дітей одиноким матерям</w:t>
      </w:r>
    </w:p>
    <w:p w:rsidR="008300B4" w:rsidRPr="008300B4" w:rsidRDefault="008300B4" w:rsidP="00DD66E5">
      <w:pPr>
        <w:shd w:val="clear" w:color="auto" w:fill="FFFFFF"/>
        <w:spacing w:before="60"/>
        <w:ind w:right="180" w:firstLine="708"/>
        <w:rPr>
          <w:color w:val="000000"/>
          <w:sz w:val="20"/>
          <w:szCs w:val="20"/>
        </w:rPr>
      </w:pPr>
      <w:r w:rsidRPr="008300B4">
        <w:rPr>
          <w:color w:val="000000"/>
          <w:sz w:val="20"/>
          <w:szCs w:val="20"/>
        </w:rPr>
        <w:t>4 – державна соціальна допомога малозабезпеченим сім’ям</w:t>
      </w:r>
    </w:p>
    <w:p w:rsidR="008300B4" w:rsidRPr="008300B4" w:rsidRDefault="008300B4" w:rsidP="00DD66E5">
      <w:pPr>
        <w:shd w:val="clear" w:color="auto" w:fill="FFFFFF"/>
        <w:spacing w:before="60"/>
        <w:ind w:right="180" w:firstLine="708"/>
        <w:rPr>
          <w:color w:val="000000"/>
          <w:sz w:val="20"/>
          <w:szCs w:val="20"/>
        </w:rPr>
      </w:pPr>
      <w:r w:rsidRPr="008300B4">
        <w:rPr>
          <w:color w:val="000000"/>
          <w:sz w:val="20"/>
          <w:szCs w:val="20"/>
        </w:rPr>
        <w:t>5 – субсидії на відшкодування витрат на оплату житлово-комунальних послуг, придбання скрапленого газу, твердого та рідкого пічного побутового палива</w:t>
      </w:r>
    </w:p>
    <w:p w:rsidR="00807094" w:rsidRPr="00E172E4" w:rsidRDefault="00807094" w:rsidP="008300B4">
      <w:pPr>
        <w:shd w:val="clear" w:color="auto" w:fill="FFFFFF"/>
        <w:spacing w:before="60"/>
        <w:ind w:right="180" w:firstLine="708"/>
        <w:jc w:val="center"/>
        <w:rPr>
          <w:b/>
          <w:color w:val="000000"/>
          <w:lang w:val="ru-RU"/>
        </w:rPr>
      </w:pPr>
    </w:p>
    <w:p w:rsidR="00BD2265" w:rsidRPr="00807094" w:rsidRDefault="00430707" w:rsidP="008300B4">
      <w:pPr>
        <w:shd w:val="clear" w:color="auto" w:fill="FFFFFF"/>
        <w:spacing w:before="60"/>
        <w:ind w:right="180" w:firstLine="708"/>
        <w:jc w:val="center"/>
        <w:rPr>
          <w:b/>
          <w:color w:val="000000"/>
          <w:lang w:val="ru-RU"/>
        </w:rPr>
      </w:pPr>
      <w:r w:rsidRPr="008300B4">
        <w:rPr>
          <w:b/>
          <w:color w:val="000000"/>
        </w:rPr>
        <w:t xml:space="preserve">Рис.2.  Рівень бідності серед населення, яке проживає в домогосподарствах, у складі яких є одержувачі певного виду допомоги </w:t>
      </w:r>
      <w:r w:rsidR="008300B4" w:rsidRPr="008300B4">
        <w:rPr>
          <w:b/>
          <w:color w:val="000000"/>
        </w:rPr>
        <w:t>(</w:t>
      </w:r>
      <w:r w:rsidRPr="008300B4">
        <w:rPr>
          <w:b/>
          <w:color w:val="000000"/>
        </w:rPr>
        <w:t>2015 р.</w:t>
      </w:r>
      <w:r w:rsidR="008300B4" w:rsidRPr="008300B4">
        <w:rPr>
          <w:b/>
          <w:color w:val="000000"/>
        </w:rPr>
        <w:t>)</w:t>
      </w:r>
      <w:r w:rsidR="00807094" w:rsidRPr="00807094">
        <w:rPr>
          <w:b/>
          <w:color w:val="000000"/>
          <w:lang w:val="ru-RU"/>
        </w:rPr>
        <w:t>*</w:t>
      </w:r>
    </w:p>
    <w:p w:rsidR="00807094" w:rsidRPr="00807094" w:rsidRDefault="00807094" w:rsidP="00807094">
      <w:pPr>
        <w:pStyle w:val="a3"/>
        <w:shd w:val="clear" w:color="auto" w:fill="FFFFFF"/>
        <w:spacing w:before="60"/>
        <w:ind w:left="1068" w:right="180"/>
        <w:rPr>
          <w:color w:val="000000"/>
          <w:sz w:val="20"/>
          <w:szCs w:val="20"/>
        </w:rPr>
      </w:pPr>
      <w:r w:rsidRPr="00807094">
        <w:rPr>
          <w:color w:val="000000"/>
          <w:sz w:val="20"/>
          <w:szCs w:val="20"/>
        </w:rPr>
        <w:t xml:space="preserve">*побудовано на основі даних Державного комітету статистики </w:t>
      </w:r>
      <w:r w:rsidRPr="00807094">
        <w:rPr>
          <w:color w:val="000000"/>
          <w:sz w:val="20"/>
          <w:szCs w:val="20"/>
          <w:lang w:val="ru-RU"/>
        </w:rPr>
        <w:t>[</w:t>
      </w:r>
      <w:r>
        <w:rPr>
          <w:color w:val="000000"/>
          <w:sz w:val="20"/>
          <w:szCs w:val="20"/>
        </w:rPr>
        <w:t>www.ukrstat.gov.ua</w:t>
      </w:r>
      <w:r w:rsidRPr="00807094">
        <w:rPr>
          <w:color w:val="000000"/>
          <w:sz w:val="20"/>
          <w:szCs w:val="20"/>
        </w:rPr>
        <w:t>]</w:t>
      </w:r>
    </w:p>
    <w:p w:rsidR="00DD66E5" w:rsidRDefault="00E36727" w:rsidP="00DD66E5">
      <w:pPr>
        <w:ind w:firstLine="709"/>
        <w:jc w:val="both"/>
        <w:rPr>
          <w:rFonts w:eastAsiaTheme="minorHAnsi"/>
          <w:color w:val="000000"/>
          <w:shd w:val="clear" w:color="auto" w:fill="FFFFFF"/>
          <w:lang w:eastAsia="en-US"/>
        </w:rPr>
      </w:pPr>
      <w:r>
        <w:rPr>
          <w:rFonts w:eastAsiaTheme="minorHAnsi"/>
          <w:color w:val="000000"/>
          <w:shd w:val="clear" w:color="auto" w:fill="FFFFFF"/>
          <w:lang w:eastAsia="en-US"/>
        </w:rPr>
        <w:t>Вплив ж</w:t>
      </w:r>
      <w:r w:rsidR="008300B4" w:rsidRPr="00DD66E5">
        <w:rPr>
          <w:rFonts w:eastAsiaTheme="minorHAnsi"/>
          <w:color w:val="000000"/>
          <w:shd w:val="clear" w:color="auto" w:fill="FFFFFF"/>
          <w:lang w:eastAsia="en-US"/>
        </w:rPr>
        <w:t>итлов</w:t>
      </w:r>
      <w:r>
        <w:rPr>
          <w:rFonts w:eastAsiaTheme="minorHAnsi"/>
          <w:color w:val="000000"/>
          <w:shd w:val="clear" w:color="auto" w:fill="FFFFFF"/>
          <w:lang w:eastAsia="en-US"/>
        </w:rPr>
        <w:t>их</w:t>
      </w:r>
      <w:r w:rsidR="008300B4" w:rsidRPr="00DD66E5">
        <w:rPr>
          <w:rFonts w:eastAsiaTheme="minorHAnsi"/>
          <w:color w:val="000000"/>
          <w:shd w:val="clear" w:color="auto" w:fill="FFFFFF"/>
          <w:lang w:eastAsia="en-US"/>
        </w:rPr>
        <w:t xml:space="preserve"> субсиді</w:t>
      </w:r>
      <w:r>
        <w:rPr>
          <w:rFonts w:eastAsiaTheme="minorHAnsi"/>
          <w:color w:val="000000"/>
          <w:shd w:val="clear" w:color="auto" w:fill="FFFFFF"/>
          <w:lang w:eastAsia="en-US"/>
        </w:rPr>
        <w:t xml:space="preserve">й та </w:t>
      </w:r>
      <w:r w:rsidRPr="00E36727">
        <w:rPr>
          <w:rFonts w:eastAsiaTheme="minorHAnsi"/>
          <w:color w:val="000000"/>
          <w:shd w:val="clear" w:color="auto" w:fill="FFFFFF"/>
          <w:lang w:eastAsia="en-US"/>
        </w:rPr>
        <w:t>допомог</w:t>
      </w:r>
      <w:r>
        <w:rPr>
          <w:rFonts w:eastAsiaTheme="minorHAnsi"/>
          <w:color w:val="000000"/>
          <w:shd w:val="clear" w:color="auto" w:fill="FFFFFF"/>
          <w:lang w:eastAsia="en-US"/>
        </w:rPr>
        <w:t>и</w:t>
      </w:r>
      <w:r w:rsidRPr="00E36727">
        <w:rPr>
          <w:rFonts w:eastAsiaTheme="minorHAnsi"/>
          <w:color w:val="000000"/>
          <w:shd w:val="clear" w:color="auto" w:fill="FFFFFF"/>
          <w:lang w:eastAsia="en-US"/>
        </w:rPr>
        <w:t xml:space="preserve"> по догляду за дитиною до досягнення нею трирічного віку</w:t>
      </w:r>
      <w:r w:rsidR="008300B4" w:rsidRPr="00DD66E5">
        <w:rPr>
          <w:rFonts w:eastAsiaTheme="minorHAnsi"/>
          <w:color w:val="000000"/>
          <w:shd w:val="clear" w:color="auto" w:fill="FFFFFF"/>
          <w:lang w:eastAsia="en-US"/>
        </w:rPr>
        <w:t xml:space="preserve"> на зменшення </w:t>
      </w:r>
      <w:r>
        <w:rPr>
          <w:rFonts w:eastAsiaTheme="minorHAnsi"/>
          <w:color w:val="000000"/>
          <w:shd w:val="clear" w:color="auto" w:fill="FFFFFF"/>
          <w:lang w:eastAsia="en-US"/>
        </w:rPr>
        <w:t xml:space="preserve">рівня </w:t>
      </w:r>
      <w:r w:rsidR="008300B4" w:rsidRPr="00DD66E5">
        <w:rPr>
          <w:rFonts w:eastAsiaTheme="minorHAnsi"/>
          <w:color w:val="000000"/>
          <w:shd w:val="clear" w:color="auto" w:fill="FFFFFF"/>
          <w:lang w:eastAsia="en-US"/>
        </w:rPr>
        <w:t>бідності серед одержувачів ц</w:t>
      </w:r>
      <w:r>
        <w:rPr>
          <w:rFonts w:eastAsiaTheme="minorHAnsi"/>
          <w:color w:val="000000"/>
          <w:shd w:val="clear" w:color="auto" w:fill="FFFFFF"/>
          <w:lang w:eastAsia="en-US"/>
        </w:rPr>
        <w:t>их</w:t>
      </w:r>
      <w:r w:rsidR="008300B4" w:rsidRPr="00DD66E5">
        <w:rPr>
          <w:rFonts w:eastAsiaTheme="minorHAnsi"/>
          <w:color w:val="000000"/>
          <w:shd w:val="clear" w:color="auto" w:fill="FFFFFF"/>
          <w:lang w:eastAsia="en-US"/>
        </w:rPr>
        <w:t xml:space="preserve"> вид</w:t>
      </w:r>
      <w:r>
        <w:rPr>
          <w:rFonts w:eastAsiaTheme="minorHAnsi"/>
          <w:color w:val="000000"/>
          <w:shd w:val="clear" w:color="auto" w:fill="FFFFFF"/>
          <w:lang w:eastAsia="en-US"/>
        </w:rPr>
        <w:t>ів</w:t>
      </w:r>
      <w:r w:rsidR="008300B4" w:rsidRPr="00DD66E5">
        <w:rPr>
          <w:rFonts w:eastAsiaTheme="minorHAnsi"/>
          <w:color w:val="000000"/>
          <w:shd w:val="clear" w:color="auto" w:fill="FFFFFF"/>
          <w:lang w:eastAsia="en-US"/>
        </w:rPr>
        <w:t xml:space="preserve"> допомоги </w:t>
      </w:r>
      <w:r>
        <w:rPr>
          <w:rFonts w:eastAsiaTheme="minorHAnsi"/>
          <w:color w:val="000000"/>
          <w:shd w:val="clear" w:color="auto" w:fill="FFFFFF"/>
          <w:lang w:eastAsia="en-US"/>
        </w:rPr>
        <w:t>є мінімальним, про що свідчать дані рис.2 (</w:t>
      </w:r>
      <w:r w:rsidR="008300B4" w:rsidRPr="00DD66E5">
        <w:rPr>
          <w:rFonts w:eastAsiaTheme="minorHAnsi"/>
          <w:color w:val="000000"/>
          <w:shd w:val="clear" w:color="auto" w:fill="FFFFFF"/>
          <w:lang w:eastAsia="en-US"/>
        </w:rPr>
        <w:t>2,9 в.п.</w:t>
      </w:r>
      <w:r>
        <w:rPr>
          <w:rFonts w:eastAsiaTheme="minorHAnsi"/>
          <w:color w:val="000000"/>
          <w:shd w:val="clear" w:color="auto" w:fill="FFFFFF"/>
          <w:lang w:eastAsia="en-US"/>
        </w:rPr>
        <w:t xml:space="preserve"> та 0 в.п.</w:t>
      </w:r>
      <w:r w:rsidR="00DD66E5" w:rsidRPr="00DD66E5">
        <w:rPr>
          <w:rFonts w:eastAsiaTheme="minorHAnsi"/>
          <w:color w:val="000000"/>
          <w:shd w:val="clear" w:color="auto" w:fill="FFFFFF"/>
          <w:lang w:eastAsia="en-US"/>
        </w:rPr>
        <w:t xml:space="preserve"> </w:t>
      </w:r>
      <w:r>
        <w:rPr>
          <w:rFonts w:eastAsiaTheme="minorHAnsi"/>
          <w:color w:val="000000"/>
          <w:shd w:val="clear" w:color="auto" w:fill="FFFFFF"/>
          <w:lang w:eastAsia="en-US"/>
        </w:rPr>
        <w:t>відповідно)</w:t>
      </w:r>
      <w:r w:rsidR="00DD66E5" w:rsidRPr="00DD66E5">
        <w:rPr>
          <w:rFonts w:eastAsiaTheme="minorHAnsi"/>
          <w:color w:val="000000"/>
          <w:shd w:val="clear" w:color="auto" w:fill="FFFFFF"/>
          <w:lang w:eastAsia="en-US"/>
        </w:rPr>
        <w:t>. Ці дані є підтвердженням нераціонального витрачання частини коштів Державного бюджету України.</w:t>
      </w:r>
    </w:p>
    <w:p w:rsidR="00DD66E5" w:rsidRPr="00E36727" w:rsidRDefault="00E36727" w:rsidP="00E36727">
      <w:pPr>
        <w:ind w:firstLine="709"/>
        <w:jc w:val="both"/>
        <w:rPr>
          <w:rFonts w:eastAsiaTheme="minorHAnsi"/>
          <w:color w:val="000000"/>
          <w:shd w:val="clear" w:color="auto" w:fill="FFFFFF"/>
          <w:lang w:eastAsia="en-US"/>
        </w:rPr>
      </w:pPr>
      <w:r>
        <w:rPr>
          <w:rFonts w:eastAsiaTheme="minorHAnsi"/>
          <w:color w:val="000000"/>
          <w:shd w:val="clear" w:color="auto" w:fill="FFFFFF"/>
          <w:lang w:eastAsia="en-US"/>
        </w:rPr>
        <w:t xml:space="preserve">Гострим залишається і </w:t>
      </w:r>
      <w:r w:rsidRPr="00E36727">
        <w:rPr>
          <w:rFonts w:eastAsiaTheme="minorHAnsi"/>
          <w:color w:val="000000"/>
          <w:shd w:val="clear" w:color="auto" w:fill="FFFFFF"/>
          <w:lang w:eastAsia="en-US"/>
        </w:rPr>
        <w:t>питання низької адресності</w:t>
      </w:r>
      <w:r>
        <w:rPr>
          <w:rFonts w:eastAsiaTheme="minorHAnsi"/>
          <w:color w:val="000000"/>
          <w:shd w:val="clear" w:color="auto" w:fill="FFFFFF"/>
          <w:lang w:eastAsia="en-US"/>
        </w:rPr>
        <w:t xml:space="preserve"> житлових субсидій. Так, ч</w:t>
      </w:r>
      <w:r w:rsidR="00DD66E5" w:rsidRPr="00B34D7D">
        <w:rPr>
          <w:rFonts w:eastAsiaTheme="minorHAnsi"/>
          <w:shd w:val="clear" w:color="auto" w:fill="FFFFFF"/>
          <w:lang w:eastAsia="en-US"/>
        </w:rPr>
        <w:t>астка пільг та субсидій на оплату житла, комунальних продуктів та послуг (готівкою та безготівкових) у сукупних ресурсах групи домогосподарств першого дециля у 2015 р. хоч і перевищує в два рази аналогічний показник</w:t>
      </w:r>
      <w:r w:rsidR="00DD66E5" w:rsidRPr="00B34D7D">
        <w:rPr>
          <w:rFonts w:eastAsiaTheme="minorHAnsi"/>
          <w:lang w:eastAsia="en-US"/>
        </w:rPr>
        <w:t xml:space="preserve"> </w:t>
      </w:r>
      <w:r w:rsidR="00DD66E5" w:rsidRPr="00B34D7D">
        <w:rPr>
          <w:rFonts w:eastAsiaTheme="minorHAnsi"/>
          <w:shd w:val="clear" w:color="auto" w:fill="FFFFFF"/>
          <w:lang w:eastAsia="en-US"/>
        </w:rPr>
        <w:t>серед домогосподарств десятого дециля (1,2%, проти 0,6% відповідно), однак, суми цих пільг та субсидій, отриманих у середньому одним домогосподарством серед домогосподарств першого дециля були в 1,7 раза нижчі, ніж у групі домогосподарств десятого дециля (табл.</w:t>
      </w:r>
      <w:r w:rsidR="00DD66E5">
        <w:rPr>
          <w:rFonts w:eastAsiaTheme="minorHAnsi"/>
          <w:shd w:val="clear" w:color="auto" w:fill="FFFFFF"/>
          <w:lang w:eastAsia="en-US"/>
        </w:rPr>
        <w:t>4</w:t>
      </w:r>
      <w:r w:rsidR="00DD66E5" w:rsidRPr="00B34D7D">
        <w:rPr>
          <w:rFonts w:eastAsiaTheme="minorHAnsi"/>
          <w:shd w:val="clear" w:color="auto" w:fill="FFFFFF"/>
          <w:lang w:eastAsia="en-US"/>
        </w:rPr>
        <w:t>).</w:t>
      </w:r>
    </w:p>
    <w:p w:rsidR="00DD66E5" w:rsidRPr="00B34D7D" w:rsidRDefault="00DD66E5" w:rsidP="00DD66E5">
      <w:pPr>
        <w:spacing w:line="360" w:lineRule="auto"/>
        <w:ind w:firstLine="709"/>
        <w:jc w:val="right"/>
        <w:rPr>
          <w:rFonts w:eastAsiaTheme="minorHAnsi"/>
          <w:shd w:val="clear" w:color="auto" w:fill="FFFFFF"/>
          <w:lang w:eastAsia="en-US"/>
        </w:rPr>
      </w:pPr>
      <w:commentRangeStart w:id="5"/>
      <w:r w:rsidRPr="00B34D7D">
        <w:rPr>
          <w:rFonts w:eastAsiaTheme="minorHAnsi"/>
          <w:shd w:val="clear" w:color="auto" w:fill="FFFFFF"/>
          <w:lang w:eastAsia="en-US"/>
        </w:rPr>
        <w:t xml:space="preserve">Таблиця </w:t>
      </w:r>
      <w:r>
        <w:rPr>
          <w:rFonts w:eastAsiaTheme="minorHAnsi"/>
          <w:shd w:val="clear" w:color="auto" w:fill="FFFFFF"/>
          <w:lang w:eastAsia="en-US"/>
        </w:rPr>
        <w:t>4</w:t>
      </w:r>
      <w:commentRangeEnd w:id="5"/>
      <w:r w:rsidR="00A73664">
        <w:rPr>
          <w:rStyle w:val="ac"/>
        </w:rPr>
        <w:commentReference w:id="5"/>
      </w:r>
    </w:p>
    <w:p w:rsidR="00DD66E5" w:rsidRPr="00E172E4" w:rsidRDefault="00DD66E5" w:rsidP="00E36727">
      <w:pPr>
        <w:ind w:firstLine="709"/>
        <w:jc w:val="center"/>
        <w:rPr>
          <w:rFonts w:eastAsiaTheme="minorHAnsi"/>
          <w:b/>
          <w:shd w:val="clear" w:color="auto" w:fill="FFFFFF"/>
          <w:lang w:val="ru-RU" w:eastAsia="en-US"/>
        </w:rPr>
      </w:pPr>
      <w:r w:rsidRPr="00B34D7D">
        <w:rPr>
          <w:rFonts w:eastAsiaTheme="minorHAnsi"/>
          <w:b/>
          <w:shd w:val="clear" w:color="auto" w:fill="FFFFFF"/>
          <w:lang w:eastAsia="en-US"/>
        </w:rPr>
        <w:t>Частка  й обсяг пільг та субсидій на оплату житла, комунальних продуктів та послуг (готівкою та безготівкових) у сукупних ресурсах груп домогосподарств першого та десятого дециля (в середньому на місяць на одне домогосподарство)</w:t>
      </w:r>
    </w:p>
    <w:p w:rsidR="00807094" w:rsidRPr="00E172E4" w:rsidRDefault="00807094" w:rsidP="00E36727">
      <w:pPr>
        <w:ind w:firstLine="709"/>
        <w:jc w:val="center"/>
        <w:rPr>
          <w:rFonts w:eastAsiaTheme="minorHAnsi"/>
          <w:b/>
          <w:shd w:val="clear" w:color="auto" w:fill="FFFFFF"/>
          <w:lang w:val="ru-RU" w:eastAsia="en-US"/>
        </w:rPr>
      </w:pPr>
    </w:p>
    <w:tbl>
      <w:tblPr>
        <w:tblStyle w:val="a9"/>
        <w:tblW w:w="0" w:type="auto"/>
        <w:tblInd w:w="108" w:type="dxa"/>
        <w:tblLook w:val="04A0" w:firstRow="1" w:lastRow="0" w:firstColumn="1" w:lastColumn="0" w:noHBand="0" w:noVBand="1"/>
      </w:tblPr>
      <w:tblGrid>
        <w:gridCol w:w="993"/>
        <w:gridCol w:w="1701"/>
        <w:gridCol w:w="1701"/>
        <w:gridCol w:w="1559"/>
        <w:gridCol w:w="1701"/>
        <w:gridCol w:w="1984"/>
      </w:tblGrid>
      <w:tr w:rsidR="00DD66E5" w:rsidRPr="00B34D7D" w:rsidTr="00A73664">
        <w:trPr>
          <w:cantSplit/>
          <w:trHeight w:val="556"/>
        </w:trPr>
        <w:tc>
          <w:tcPr>
            <w:tcW w:w="993" w:type="dxa"/>
          </w:tcPr>
          <w:p w:rsidR="00DD66E5" w:rsidRPr="00B34D7D" w:rsidRDefault="00DD66E5" w:rsidP="00A73664">
            <w:pPr>
              <w:jc w:val="both"/>
              <w:rPr>
                <w:rFonts w:eastAsiaTheme="minorHAnsi"/>
                <w:shd w:val="clear" w:color="auto" w:fill="FFFFFF"/>
                <w:lang w:eastAsia="en-US"/>
              </w:rPr>
            </w:pPr>
            <w:r w:rsidRPr="00B34D7D">
              <w:rPr>
                <w:rFonts w:eastAsiaTheme="minorHAnsi"/>
                <w:shd w:val="clear" w:color="auto" w:fill="FFFFFF"/>
                <w:lang w:eastAsia="en-US"/>
              </w:rPr>
              <w:t>Роки</w:t>
            </w:r>
          </w:p>
        </w:tc>
        <w:tc>
          <w:tcPr>
            <w:tcW w:w="1701" w:type="dxa"/>
          </w:tcPr>
          <w:p w:rsidR="00DD66E5" w:rsidRPr="00B34D7D" w:rsidRDefault="00DD66E5" w:rsidP="00A73664">
            <w:pPr>
              <w:jc w:val="center"/>
              <w:rPr>
                <w:rFonts w:eastAsiaTheme="minorHAnsi"/>
                <w:shd w:val="clear" w:color="auto" w:fill="FFFFFF"/>
                <w:lang w:eastAsia="en-US"/>
              </w:rPr>
            </w:pPr>
            <w:r w:rsidRPr="00B34D7D">
              <w:rPr>
                <w:rFonts w:eastAsiaTheme="minorHAnsi"/>
                <w:shd w:val="clear" w:color="auto" w:fill="FFFFFF"/>
                <w:lang w:eastAsia="en-US"/>
              </w:rPr>
              <w:t>Частка пільг та субсидій *</w:t>
            </w:r>
          </w:p>
        </w:tc>
        <w:tc>
          <w:tcPr>
            <w:tcW w:w="1701" w:type="dxa"/>
          </w:tcPr>
          <w:p w:rsidR="00DD66E5" w:rsidRPr="00B34D7D" w:rsidRDefault="00DD66E5" w:rsidP="00A73664">
            <w:pPr>
              <w:jc w:val="center"/>
              <w:rPr>
                <w:rFonts w:eastAsiaTheme="minorHAnsi"/>
                <w:shd w:val="clear" w:color="auto" w:fill="FFFFFF"/>
                <w:lang w:eastAsia="en-US"/>
              </w:rPr>
            </w:pPr>
            <w:r w:rsidRPr="00B34D7D">
              <w:rPr>
                <w:rFonts w:eastAsiaTheme="minorHAnsi"/>
                <w:shd w:val="clear" w:color="auto" w:fill="FFFFFF"/>
                <w:lang w:eastAsia="en-US"/>
              </w:rPr>
              <w:t>Частка пільг та субсидій **</w:t>
            </w:r>
          </w:p>
        </w:tc>
        <w:tc>
          <w:tcPr>
            <w:tcW w:w="1559" w:type="dxa"/>
          </w:tcPr>
          <w:p w:rsidR="00DD66E5" w:rsidRPr="00B34D7D" w:rsidRDefault="00DD66E5" w:rsidP="00A73664">
            <w:pPr>
              <w:jc w:val="center"/>
              <w:rPr>
                <w:rFonts w:eastAsiaTheme="minorHAnsi"/>
                <w:shd w:val="clear" w:color="auto" w:fill="FFFFFF"/>
                <w:lang w:eastAsia="en-US"/>
              </w:rPr>
            </w:pPr>
            <w:r w:rsidRPr="00B34D7D">
              <w:rPr>
                <w:rFonts w:eastAsiaTheme="minorHAnsi"/>
                <w:shd w:val="clear" w:color="auto" w:fill="FFFFFF"/>
                <w:lang w:eastAsia="en-US"/>
              </w:rPr>
              <w:t>Обсяг пільг та субсидій*</w:t>
            </w:r>
          </w:p>
        </w:tc>
        <w:tc>
          <w:tcPr>
            <w:tcW w:w="1701" w:type="dxa"/>
          </w:tcPr>
          <w:p w:rsidR="00DD66E5" w:rsidRPr="00B34D7D" w:rsidRDefault="00DD66E5" w:rsidP="00A73664">
            <w:pPr>
              <w:jc w:val="center"/>
              <w:rPr>
                <w:rFonts w:eastAsiaTheme="minorHAnsi"/>
                <w:shd w:val="clear" w:color="auto" w:fill="FFFFFF"/>
                <w:lang w:eastAsia="en-US"/>
              </w:rPr>
            </w:pPr>
            <w:r w:rsidRPr="00B34D7D">
              <w:rPr>
                <w:rFonts w:eastAsiaTheme="minorHAnsi"/>
                <w:shd w:val="clear" w:color="auto" w:fill="FFFFFF"/>
                <w:lang w:eastAsia="en-US"/>
              </w:rPr>
              <w:t>Обсяг пільг та субсидій**</w:t>
            </w:r>
          </w:p>
        </w:tc>
        <w:tc>
          <w:tcPr>
            <w:tcW w:w="1984" w:type="dxa"/>
          </w:tcPr>
          <w:p w:rsidR="00DD66E5" w:rsidRPr="00B34D7D" w:rsidRDefault="00DD66E5" w:rsidP="00A73664">
            <w:pPr>
              <w:jc w:val="center"/>
              <w:rPr>
                <w:rFonts w:eastAsiaTheme="minorHAnsi"/>
                <w:shd w:val="clear" w:color="auto" w:fill="FFFFFF"/>
                <w:lang w:eastAsia="en-US"/>
              </w:rPr>
            </w:pPr>
            <w:r w:rsidRPr="00B34D7D">
              <w:rPr>
                <w:rFonts w:eastAsiaTheme="minorHAnsi"/>
                <w:shd w:val="clear" w:color="auto" w:fill="FFFFFF"/>
                <w:lang w:eastAsia="en-US"/>
              </w:rPr>
              <w:t>Відношення, (к5/к.4) разів</w:t>
            </w:r>
          </w:p>
        </w:tc>
      </w:tr>
      <w:tr w:rsidR="00DD66E5" w:rsidRPr="00B34D7D" w:rsidTr="00A73664">
        <w:tc>
          <w:tcPr>
            <w:tcW w:w="993" w:type="dxa"/>
          </w:tcPr>
          <w:p w:rsidR="00DD66E5" w:rsidRPr="00B34D7D" w:rsidRDefault="00DD66E5" w:rsidP="00A73664">
            <w:pPr>
              <w:jc w:val="center"/>
              <w:rPr>
                <w:rFonts w:eastAsiaTheme="minorHAnsi"/>
                <w:shd w:val="clear" w:color="auto" w:fill="FFFFFF"/>
                <w:lang w:eastAsia="en-US"/>
              </w:rPr>
            </w:pPr>
            <w:r w:rsidRPr="00B34D7D">
              <w:rPr>
                <w:rFonts w:eastAsiaTheme="minorHAnsi"/>
                <w:shd w:val="clear" w:color="auto" w:fill="FFFFFF"/>
                <w:lang w:eastAsia="en-US"/>
              </w:rPr>
              <w:t>1</w:t>
            </w:r>
          </w:p>
        </w:tc>
        <w:tc>
          <w:tcPr>
            <w:tcW w:w="1701" w:type="dxa"/>
          </w:tcPr>
          <w:p w:rsidR="00DD66E5" w:rsidRPr="00B34D7D" w:rsidRDefault="00DD66E5" w:rsidP="00A73664">
            <w:pPr>
              <w:jc w:val="center"/>
              <w:rPr>
                <w:rFonts w:eastAsiaTheme="minorHAnsi"/>
                <w:shd w:val="clear" w:color="auto" w:fill="FFFFFF"/>
                <w:lang w:eastAsia="en-US"/>
              </w:rPr>
            </w:pPr>
            <w:r w:rsidRPr="00B34D7D">
              <w:rPr>
                <w:rFonts w:eastAsiaTheme="minorHAnsi"/>
                <w:shd w:val="clear" w:color="auto" w:fill="FFFFFF"/>
                <w:lang w:eastAsia="en-US"/>
              </w:rPr>
              <w:t>2</w:t>
            </w:r>
          </w:p>
        </w:tc>
        <w:tc>
          <w:tcPr>
            <w:tcW w:w="1701" w:type="dxa"/>
          </w:tcPr>
          <w:p w:rsidR="00DD66E5" w:rsidRPr="00B34D7D" w:rsidRDefault="00DD66E5" w:rsidP="00A73664">
            <w:pPr>
              <w:jc w:val="center"/>
              <w:rPr>
                <w:rFonts w:eastAsiaTheme="minorHAnsi"/>
                <w:shd w:val="clear" w:color="auto" w:fill="FFFFFF"/>
                <w:lang w:eastAsia="en-US"/>
              </w:rPr>
            </w:pPr>
            <w:r w:rsidRPr="00B34D7D">
              <w:rPr>
                <w:rFonts w:eastAsiaTheme="minorHAnsi"/>
                <w:shd w:val="clear" w:color="auto" w:fill="FFFFFF"/>
                <w:lang w:eastAsia="en-US"/>
              </w:rPr>
              <w:t>3</w:t>
            </w:r>
          </w:p>
        </w:tc>
        <w:tc>
          <w:tcPr>
            <w:tcW w:w="1559" w:type="dxa"/>
          </w:tcPr>
          <w:p w:rsidR="00DD66E5" w:rsidRPr="00B34D7D" w:rsidRDefault="00DD66E5" w:rsidP="00A73664">
            <w:pPr>
              <w:jc w:val="center"/>
              <w:rPr>
                <w:rFonts w:eastAsiaTheme="minorHAnsi"/>
                <w:shd w:val="clear" w:color="auto" w:fill="FFFFFF"/>
                <w:lang w:eastAsia="en-US"/>
              </w:rPr>
            </w:pPr>
            <w:r w:rsidRPr="00B34D7D">
              <w:rPr>
                <w:rFonts w:eastAsiaTheme="minorHAnsi"/>
                <w:shd w:val="clear" w:color="auto" w:fill="FFFFFF"/>
                <w:lang w:eastAsia="en-US"/>
              </w:rPr>
              <w:t>4</w:t>
            </w:r>
          </w:p>
        </w:tc>
        <w:tc>
          <w:tcPr>
            <w:tcW w:w="1701" w:type="dxa"/>
          </w:tcPr>
          <w:p w:rsidR="00DD66E5" w:rsidRPr="00B34D7D" w:rsidRDefault="00DD66E5" w:rsidP="00A73664">
            <w:pPr>
              <w:jc w:val="center"/>
              <w:rPr>
                <w:rFonts w:eastAsiaTheme="minorHAnsi"/>
                <w:shd w:val="clear" w:color="auto" w:fill="FFFFFF"/>
                <w:lang w:eastAsia="en-US"/>
              </w:rPr>
            </w:pPr>
            <w:r w:rsidRPr="00B34D7D">
              <w:rPr>
                <w:rFonts w:eastAsiaTheme="minorHAnsi"/>
                <w:shd w:val="clear" w:color="auto" w:fill="FFFFFF"/>
                <w:lang w:eastAsia="en-US"/>
              </w:rPr>
              <w:t>5</w:t>
            </w:r>
          </w:p>
        </w:tc>
        <w:tc>
          <w:tcPr>
            <w:tcW w:w="1984" w:type="dxa"/>
          </w:tcPr>
          <w:p w:rsidR="00DD66E5" w:rsidRPr="00B34D7D" w:rsidRDefault="00DD66E5" w:rsidP="00A73664">
            <w:pPr>
              <w:jc w:val="center"/>
              <w:rPr>
                <w:rFonts w:eastAsiaTheme="minorHAnsi"/>
                <w:shd w:val="clear" w:color="auto" w:fill="FFFFFF"/>
                <w:lang w:eastAsia="en-US"/>
              </w:rPr>
            </w:pPr>
            <w:r w:rsidRPr="00B34D7D">
              <w:rPr>
                <w:rFonts w:eastAsiaTheme="minorHAnsi"/>
                <w:shd w:val="clear" w:color="auto" w:fill="FFFFFF"/>
                <w:lang w:eastAsia="en-US"/>
              </w:rPr>
              <w:t>6</w:t>
            </w:r>
          </w:p>
        </w:tc>
      </w:tr>
      <w:tr w:rsidR="00DD66E5" w:rsidRPr="00B34D7D" w:rsidTr="00A73664">
        <w:tc>
          <w:tcPr>
            <w:tcW w:w="993" w:type="dxa"/>
          </w:tcPr>
          <w:p w:rsidR="00DD66E5" w:rsidRPr="00B34D7D" w:rsidRDefault="00DD66E5" w:rsidP="00A73664">
            <w:pPr>
              <w:jc w:val="both"/>
              <w:rPr>
                <w:rFonts w:eastAsiaTheme="minorHAnsi"/>
                <w:shd w:val="clear" w:color="auto" w:fill="FFFFFF"/>
                <w:lang w:eastAsia="en-US"/>
              </w:rPr>
            </w:pPr>
            <w:r w:rsidRPr="00B34D7D">
              <w:rPr>
                <w:rFonts w:eastAsiaTheme="minorHAnsi"/>
                <w:shd w:val="clear" w:color="auto" w:fill="FFFFFF"/>
                <w:lang w:eastAsia="en-US"/>
              </w:rPr>
              <w:t>2009</w:t>
            </w:r>
          </w:p>
        </w:tc>
        <w:tc>
          <w:tcPr>
            <w:tcW w:w="1701" w:type="dxa"/>
          </w:tcPr>
          <w:p w:rsidR="00DD66E5" w:rsidRPr="00B34D7D" w:rsidRDefault="00DD66E5" w:rsidP="00A73664">
            <w:pPr>
              <w:jc w:val="center"/>
              <w:rPr>
                <w:rFonts w:eastAsiaTheme="minorHAnsi"/>
                <w:shd w:val="clear" w:color="auto" w:fill="FFFFFF"/>
                <w:lang w:eastAsia="en-US"/>
              </w:rPr>
            </w:pPr>
            <w:r w:rsidRPr="00B34D7D">
              <w:rPr>
                <w:rFonts w:eastAsiaTheme="minorHAnsi"/>
                <w:shd w:val="clear" w:color="auto" w:fill="FFFFFF"/>
                <w:lang w:eastAsia="en-US"/>
              </w:rPr>
              <w:t>0,6</w:t>
            </w:r>
          </w:p>
        </w:tc>
        <w:tc>
          <w:tcPr>
            <w:tcW w:w="1701" w:type="dxa"/>
          </w:tcPr>
          <w:p w:rsidR="00DD66E5" w:rsidRPr="00B34D7D" w:rsidRDefault="00DD66E5" w:rsidP="00A73664">
            <w:pPr>
              <w:jc w:val="center"/>
              <w:rPr>
                <w:rFonts w:eastAsiaTheme="minorHAnsi"/>
                <w:shd w:val="clear" w:color="auto" w:fill="FFFFFF"/>
                <w:lang w:eastAsia="en-US"/>
              </w:rPr>
            </w:pPr>
            <w:r w:rsidRPr="00B34D7D">
              <w:rPr>
                <w:rFonts w:eastAsiaTheme="minorHAnsi"/>
                <w:shd w:val="clear" w:color="auto" w:fill="FFFFFF"/>
                <w:lang w:eastAsia="en-US"/>
              </w:rPr>
              <w:t>0,4</w:t>
            </w:r>
          </w:p>
        </w:tc>
        <w:tc>
          <w:tcPr>
            <w:tcW w:w="1559" w:type="dxa"/>
          </w:tcPr>
          <w:p w:rsidR="00DD66E5" w:rsidRPr="00B34D7D" w:rsidRDefault="00DD66E5" w:rsidP="00A73664">
            <w:pPr>
              <w:jc w:val="center"/>
              <w:rPr>
                <w:rFonts w:eastAsiaTheme="minorHAnsi"/>
                <w:shd w:val="clear" w:color="auto" w:fill="FFFFFF"/>
                <w:lang w:eastAsia="en-US"/>
              </w:rPr>
            </w:pPr>
            <w:r w:rsidRPr="00B34D7D">
              <w:rPr>
                <w:rFonts w:eastAsiaTheme="minorHAnsi"/>
                <w:shd w:val="clear" w:color="auto" w:fill="FFFFFF"/>
                <w:lang w:eastAsia="en-US"/>
              </w:rPr>
              <w:t>4,08</w:t>
            </w:r>
          </w:p>
        </w:tc>
        <w:tc>
          <w:tcPr>
            <w:tcW w:w="1701" w:type="dxa"/>
          </w:tcPr>
          <w:p w:rsidR="00DD66E5" w:rsidRPr="00B34D7D" w:rsidRDefault="00DD66E5" w:rsidP="00A73664">
            <w:pPr>
              <w:jc w:val="center"/>
              <w:rPr>
                <w:rFonts w:eastAsiaTheme="minorHAnsi"/>
                <w:shd w:val="clear" w:color="auto" w:fill="FFFFFF"/>
                <w:lang w:eastAsia="en-US"/>
              </w:rPr>
            </w:pPr>
            <w:r w:rsidRPr="00B34D7D">
              <w:rPr>
                <w:rFonts w:eastAsiaTheme="minorHAnsi"/>
                <w:shd w:val="clear" w:color="auto" w:fill="FFFFFF"/>
                <w:lang w:eastAsia="en-US"/>
              </w:rPr>
              <w:t>19,64</w:t>
            </w:r>
          </w:p>
        </w:tc>
        <w:tc>
          <w:tcPr>
            <w:tcW w:w="1984" w:type="dxa"/>
          </w:tcPr>
          <w:p w:rsidR="00DD66E5" w:rsidRPr="00B34D7D" w:rsidRDefault="00DD66E5" w:rsidP="00A73664">
            <w:pPr>
              <w:jc w:val="center"/>
              <w:rPr>
                <w:rFonts w:eastAsiaTheme="minorHAnsi"/>
                <w:shd w:val="clear" w:color="auto" w:fill="FFFFFF"/>
                <w:lang w:eastAsia="en-US"/>
              </w:rPr>
            </w:pPr>
            <w:r w:rsidRPr="00B34D7D">
              <w:rPr>
                <w:rFonts w:eastAsiaTheme="minorHAnsi"/>
                <w:shd w:val="clear" w:color="auto" w:fill="FFFFFF"/>
                <w:lang w:eastAsia="en-US"/>
              </w:rPr>
              <w:t>4,8</w:t>
            </w:r>
          </w:p>
        </w:tc>
      </w:tr>
      <w:tr w:rsidR="00DD66E5" w:rsidRPr="00B34D7D" w:rsidTr="00A73664">
        <w:tc>
          <w:tcPr>
            <w:tcW w:w="993" w:type="dxa"/>
          </w:tcPr>
          <w:p w:rsidR="00DD66E5" w:rsidRPr="00B34D7D" w:rsidRDefault="00DD66E5" w:rsidP="00A73664">
            <w:pPr>
              <w:jc w:val="both"/>
              <w:rPr>
                <w:rFonts w:eastAsiaTheme="minorHAnsi"/>
                <w:shd w:val="clear" w:color="auto" w:fill="FFFFFF"/>
                <w:lang w:eastAsia="en-US"/>
              </w:rPr>
            </w:pPr>
            <w:r w:rsidRPr="00B34D7D">
              <w:rPr>
                <w:rFonts w:eastAsiaTheme="minorHAnsi"/>
                <w:shd w:val="clear" w:color="auto" w:fill="FFFFFF"/>
                <w:lang w:eastAsia="en-US"/>
              </w:rPr>
              <w:t>2010</w:t>
            </w:r>
          </w:p>
        </w:tc>
        <w:tc>
          <w:tcPr>
            <w:tcW w:w="1701" w:type="dxa"/>
          </w:tcPr>
          <w:p w:rsidR="00DD66E5" w:rsidRPr="00B34D7D" w:rsidRDefault="00DD66E5" w:rsidP="00A73664">
            <w:pPr>
              <w:jc w:val="center"/>
              <w:rPr>
                <w:rFonts w:eastAsiaTheme="minorHAnsi"/>
                <w:shd w:val="clear" w:color="auto" w:fill="FFFFFF"/>
                <w:lang w:eastAsia="en-US"/>
              </w:rPr>
            </w:pPr>
            <w:r w:rsidRPr="00B34D7D">
              <w:rPr>
                <w:rFonts w:eastAsiaTheme="minorHAnsi"/>
                <w:shd w:val="clear" w:color="auto" w:fill="FFFFFF"/>
                <w:lang w:eastAsia="en-US"/>
              </w:rPr>
              <w:t>0,5</w:t>
            </w:r>
          </w:p>
        </w:tc>
        <w:tc>
          <w:tcPr>
            <w:tcW w:w="1701" w:type="dxa"/>
          </w:tcPr>
          <w:p w:rsidR="00DD66E5" w:rsidRPr="00B34D7D" w:rsidRDefault="00DD66E5" w:rsidP="00A73664">
            <w:pPr>
              <w:jc w:val="center"/>
              <w:rPr>
                <w:rFonts w:eastAsiaTheme="minorHAnsi"/>
                <w:shd w:val="clear" w:color="auto" w:fill="FFFFFF"/>
                <w:lang w:eastAsia="en-US"/>
              </w:rPr>
            </w:pPr>
            <w:r w:rsidRPr="00B34D7D">
              <w:rPr>
                <w:rFonts w:eastAsiaTheme="minorHAnsi"/>
                <w:shd w:val="clear" w:color="auto" w:fill="FFFFFF"/>
                <w:lang w:eastAsia="en-US"/>
              </w:rPr>
              <w:t>0,3</w:t>
            </w:r>
          </w:p>
        </w:tc>
        <w:tc>
          <w:tcPr>
            <w:tcW w:w="1559" w:type="dxa"/>
          </w:tcPr>
          <w:p w:rsidR="00DD66E5" w:rsidRPr="00B34D7D" w:rsidRDefault="00DD66E5" w:rsidP="00A73664">
            <w:pPr>
              <w:jc w:val="center"/>
              <w:rPr>
                <w:rFonts w:eastAsiaTheme="minorHAnsi"/>
                <w:shd w:val="clear" w:color="auto" w:fill="FFFFFF"/>
                <w:lang w:eastAsia="en-US"/>
              </w:rPr>
            </w:pPr>
            <w:r w:rsidRPr="00B34D7D">
              <w:rPr>
                <w:rFonts w:eastAsiaTheme="minorHAnsi"/>
                <w:shd w:val="clear" w:color="auto" w:fill="FFFFFF"/>
                <w:lang w:eastAsia="en-US"/>
              </w:rPr>
              <w:t>8,21</w:t>
            </w:r>
          </w:p>
        </w:tc>
        <w:tc>
          <w:tcPr>
            <w:tcW w:w="1701" w:type="dxa"/>
          </w:tcPr>
          <w:p w:rsidR="00DD66E5" w:rsidRPr="00B34D7D" w:rsidRDefault="00DD66E5" w:rsidP="00A73664">
            <w:pPr>
              <w:jc w:val="center"/>
              <w:rPr>
                <w:rFonts w:eastAsiaTheme="minorHAnsi"/>
                <w:shd w:val="clear" w:color="auto" w:fill="FFFFFF"/>
                <w:lang w:eastAsia="en-US"/>
              </w:rPr>
            </w:pPr>
            <w:r w:rsidRPr="00B34D7D">
              <w:rPr>
                <w:rFonts w:eastAsiaTheme="minorHAnsi"/>
                <w:shd w:val="clear" w:color="auto" w:fill="FFFFFF"/>
                <w:lang w:eastAsia="en-US"/>
              </w:rPr>
              <w:t>20,33</w:t>
            </w:r>
          </w:p>
        </w:tc>
        <w:tc>
          <w:tcPr>
            <w:tcW w:w="1984" w:type="dxa"/>
          </w:tcPr>
          <w:p w:rsidR="00DD66E5" w:rsidRPr="00B34D7D" w:rsidRDefault="00DD66E5" w:rsidP="00A73664">
            <w:pPr>
              <w:jc w:val="center"/>
              <w:rPr>
                <w:rFonts w:eastAsiaTheme="minorHAnsi"/>
                <w:shd w:val="clear" w:color="auto" w:fill="FFFFFF"/>
                <w:lang w:eastAsia="en-US"/>
              </w:rPr>
            </w:pPr>
            <w:r w:rsidRPr="00B34D7D">
              <w:rPr>
                <w:rFonts w:eastAsiaTheme="minorHAnsi"/>
                <w:shd w:val="clear" w:color="auto" w:fill="FFFFFF"/>
                <w:lang w:eastAsia="en-US"/>
              </w:rPr>
              <w:t>2,5</w:t>
            </w:r>
          </w:p>
        </w:tc>
      </w:tr>
      <w:tr w:rsidR="00DD66E5" w:rsidRPr="00B34D7D" w:rsidTr="00A73664">
        <w:tc>
          <w:tcPr>
            <w:tcW w:w="993" w:type="dxa"/>
          </w:tcPr>
          <w:p w:rsidR="00DD66E5" w:rsidRPr="00B34D7D" w:rsidRDefault="00DD66E5" w:rsidP="00A73664">
            <w:pPr>
              <w:jc w:val="both"/>
              <w:rPr>
                <w:rFonts w:eastAsiaTheme="minorHAnsi"/>
                <w:shd w:val="clear" w:color="auto" w:fill="FFFFFF"/>
                <w:lang w:eastAsia="en-US"/>
              </w:rPr>
            </w:pPr>
            <w:r w:rsidRPr="00B34D7D">
              <w:rPr>
                <w:rFonts w:eastAsiaTheme="minorHAnsi"/>
                <w:shd w:val="clear" w:color="auto" w:fill="FFFFFF"/>
                <w:lang w:eastAsia="en-US"/>
              </w:rPr>
              <w:t>2011</w:t>
            </w:r>
          </w:p>
        </w:tc>
        <w:tc>
          <w:tcPr>
            <w:tcW w:w="1701" w:type="dxa"/>
          </w:tcPr>
          <w:p w:rsidR="00DD66E5" w:rsidRPr="00B34D7D" w:rsidRDefault="00DD66E5" w:rsidP="00A73664">
            <w:pPr>
              <w:jc w:val="center"/>
              <w:rPr>
                <w:rFonts w:eastAsiaTheme="minorHAnsi"/>
                <w:shd w:val="clear" w:color="auto" w:fill="FFFFFF"/>
                <w:lang w:eastAsia="en-US"/>
              </w:rPr>
            </w:pPr>
            <w:r w:rsidRPr="00B34D7D">
              <w:rPr>
                <w:rFonts w:eastAsiaTheme="minorHAnsi"/>
                <w:shd w:val="clear" w:color="auto" w:fill="FFFFFF"/>
                <w:lang w:eastAsia="en-US"/>
              </w:rPr>
              <w:t>0,6</w:t>
            </w:r>
          </w:p>
        </w:tc>
        <w:tc>
          <w:tcPr>
            <w:tcW w:w="1701" w:type="dxa"/>
          </w:tcPr>
          <w:p w:rsidR="00DD66E5" w:rsidRPr="00B34D7D" w:rsidRDefault="00DD66E5" w:rsidP="00A73664">
            <w:pPr>
              <w:jc w:val="center"/>
              <w:rPr>
                <w:rFonts w:eastAsiaTheme="minorHAnsi"/>
                <w:shd w:val="clear" w:color="auto" w:fill="FFFFFF"/>
                <w:lang w:eastAsia="en-US"/>
              </w:rPr>
            </w:pPr>
            <w:r w:rsidRPr="00B34D7D">
              <w:rPr>
                <w:rFonts w:eastAsiaTheme="minorHAnsi"/>
                <w:shd w:val="clear" w:color="auto" w:fill="FFFFFF"/>
                <w:lang w:eastAsia="en-US"/>
              </w:rPr>
              <w:t>0,3</w:t>
            </w:r>
          </w:p>
        </w:tc>
        <w:tc>
          <w:tcPr>
            <w:tcW w:w="1559" w:type="dxa"/>
          </w:tcPr>
          <w:p w:rsidR="00DD66E5" w:rsidRPr="00B34D7D" w:rsidRDefault="00DD66E5" w:rsidP="00A73664">
            <w:pPr>
              <w:jc w:val="center"/>
              <w:rPr>
                <w:rFonts w:eastAsiaTheme="minorHAnsi"/>
                <w:shd w:val="clear" w:color="auto" w:fill="FFFFFF"/>
                <w:lang w:eastAsia="en-US"/>
              </w:rPr>
            </w:pPr>
            <w:r w:rsidRPr="00B34D7D">
              <w:rPr>
                <w:rFonts w:eastAsiaTheme="minorHAnsi"/>
                <w:shd w:val="clear" w:color="auto" w:fill="FFFFFF"/>
                <w:lang w:eastAsia="en-US"/>
              </w:rPr>
              <w:t>6,72</w:t>
            </w:r>
          </w:p>
        </w:tc>
        <w:tc>
          <w:tcPr>
            <w:tcW w:w="1701" w:type="dxa"/>
          </w:tcPr>
          <w:p w:rsidR="00DD66E5" w:rsidRPr="00B34D7D" w:rsidRDefault="00DD66E5" w:rsidP="00A73664">
            <w:pPr>
              <w:jc w:val="center"/>
              <w:rPr>
                <w:rFonts w:eastAsiaTheme="minorHAnsi"/>
                <w:shd w:val="clear" w:color="auto" w:fill="FFFFFF"/>
                <w:lang w:eastAsia="en-US"/>
              </w:rPr>
            </w:pPr>
            <w:r w:rsidRPr="00B34D7D">
              <w:rPr>
                <w:rFonts w:eastAsiaTheme="minorHAnsi"/>
                <w:shd w:val="clear" w:color="auto" w:fill="FFFFFF"/>
                <w:lang w:eastAsia="en-US"/>
              </w:rPr>
              <w:t>20,12</w:t>
            </w:r>
          </w:p>
        </w:tc>
        <w:tc>
          <w:tcPr>
            <w:tcW w:w="1984" w:type="dxa"/>
          </w:tcPr>
          <w:p w:rsidR="00DD66E5" w:rsidRPr="00B34D7D" w:rsidRDefault="00DD66E5" w:rsidP="00A73664">
            <w:pPr>
              <w:jc w:val="center"/>
              <w:rPr>
                <w:rFonts w:eastAsiaTheme="minorHAnsi"/>
                <w:shd w:val="clear" w:color="auto" w:fill="FFFFFF"/>
                <w:lang w:eastAsia="en-US"/>
              </w:rPr>
            </w:pPr>
            <w:r w:rsidRPr="00B34D7D">
              <w:rPr>
                <w:rFonts w:eastAsiaTheme="minorHAnsi"/>
                <w:shd w:val="clear" w:color="auto" w:fill="FFFFFF"/>
                <w:lang w:eastAsia="en-US"/>
              </w:rPr>
              <w:t>3,0</w:t>
            </w:r>
          </w:p>
        </w:tc>
      </w:tr>
      <w:tr w:rsidR="00DD66E5" w:rsidRPr="00B34D7D" w:rsidTr="00A73664">
        <w:tc>
          <w:tcPr>
            <w:tcW w:w="993" w:type="dxa"/>
          </w:tcPr>
          <w:p w:rsidR="00DD66E5" w:rsidRPr="00B34D7D" w:rsidRDefault="00DD66E5" w:rsidP="00A73664">
            <w:pPr>
              <w:jc w:val="both"/>
              <w:rPr>
                <w:rFonts w:eastAsiaTheme="minorHAnsi"/>
                <w:shd w:val="clear" w:color="auto" w:fill="FFFFFF"/>
                <w:lang w:eastAsia="en-US"/>
              </w:rPr>
            </w:pPr>
            <w:r w:rsidRPr="00B34D7D">
              <w:rPr>
                <w:rFonts w:eastAsiaTheme="minorHAnsi"/>
                <w:shd w:val="clear" w:color="auto" w:fill="FFFFFF"/>
                <w:lang w:eastAsia="en-US"/>
              </w:rPr>
              <w:t>2012</w:t>
            </w:r>
          </w:p>
        </w:tc>
        <w:tc>
          <w:tcPr>
            <w:tcW w:w="1701" w:type="dxa"/>
          </w:tcPr>
          <w:p w:rsidR="00DD66E5" w:rsidRPr="00B34D7D" w:rsidRDefault="00DD66E5" w:rsidP="00A73664">
            <w:pPr>
              <w:jc w:val="center"/>
              <w:rPr>
                <w:rFonts w:eastAsiaTheme="minorHAnsi"/>
                <w:shd w:val="clear" w:color="auto" w:fill="FFFFFF"/>
                <w:lang w:eastAsia="en-US"/>
              </w:rPr>
            </w:pPr>
            <w:r w:rsidRPr="00B34D7D">
              <w:rPr>
                <w:rFonts w:eastAsiaTheme="minorHAnsi"/>
                <w:shd w:val="clear" w:color="auto" w:fill="FFFFFF"/>
                <w:lang w:eastAsia="en-US"/>
              </w:rPr>
              <w:t>0,5</w:t>
            </w:r>
          </w:p>
        </w:tc>
        <w:tc>
          <w:tcPr>
            <w:tcW w:w="1701" w:type="dxa"/>
          </w:tcPr>
          <w:p w:rsidR="00DD66E5" w:rsidRPr="00B34D7D" w:rsidRDefault="00DD66E5" w:rsidP="00A73664">
            <w:pPr>
              <w:jc w:val="center"/>
              <w:rPr>
                <w:rFonts w:eastAsiaTheme="minorHAnsi"/>
                <w:shd w:val="clear" w:color="auto" w:fill="FFFFFF"/>
                <w:lang w:eastAsia="en-US"/>
              </w:rPr>
            </w:pPr>
            <w:r w:rsidRPr="00B34D7D">
              <w:rPr>
                <w:rFonts w:eastAsiaTheme="minorHAnsi"/>
                <w:shd w:val="clear" w:color="auto" w:fill="FFFFFF"/>
                <w:lang w:eastAsia="en-US"/>
              </w:rPr>
              <w:t>0,3</w:t>
            </w:r>
          </w:p>
        </w:tc>
        <w:tc>
          <w:tcPr>
            <w:tcW w:w="1559" w:type="dxa"/>
          </w:tcPr>
          <w:p w:rsidR="00DD66E5" w:rsidRPr="00B34D7D" w:rsidRDefault="00DD66E5" w:rsidP="00A73664">
            <w:pPr>
              <w:jc w:val="center"/>
              <w:rPr>
                <w:rFonts w:eastAsiaTheme="minorHAnsi"/>
                <w:shd w:val="clear" w:color="auto" w:fill="FFFFFF"/>
                <w:lang w:eastAsia="en-US"/>
              </w:rPr>
            </w:pPr>
            <w:r w:rsidRPr="00B34D7D">
              <w:rPr>
                <w:rFonts w:eastAsiaTheme="minorHAnsi"/>
                <w:shd w:val="clear" w:color="auto" w:fill="FFFFFF"/>
                <w:lang w:eastAsia="en-US"/>
              </w:rPr>
              <w:t>10,43</w:t>
            </w:r>
          </w:p>
        </w:tc>
        <w:tc>
          <w:tcPr>
            <w:tcW w:w="1701" w:type="dxa"/>
          </w:tcPr>
          <w:p w:rsidR="00DD66E5" w:rsidRPr="00B34D7D" w:rsidRDefault="00DD66E5" w:rsidP="00A73664">
            <w:pPr>
              <w:jc w:val="center"/>
              <w:rPr>
                <w:rFonts w:eastAsiaTheme="minorHAnsi"/>
                <w:shd w:val="clear" w:color="auto" w:fill="FFFFFF"/>
                <w:lang w:eastAsia="en-US"/>
              </w:rPr>
            </w:pPr>
            <w:r w:rsidRPr="00B34D7D">
              <w:rPr>
                <w:rFonts w:eastAsiaTheme="minorHAnsi"/>
                <w:shd w:val="clear" w:color="auto" w:fill="FFFFFF"/>
                <w:lang w:eastAsia="en-US"/>
              </w:rPr>
              <w:t>25,8</w:t>
            </w:r>
          </w:p>
        </w:tc>
        <w:tc>
          <w:tcPr>
            <w:tcW w:w="1984" w:type="dxa"/>
          </w:tcPr>
          <w:p w:rsidR="00DD66E5" w:rsidRPr="00B34D7D" w:rsidRDefault="00DD66E5" w:rsidP="00A73664">
            <w:pPr>
              <w:jc w:val="center"/>
              <w:rPr>
                <w:rFonts w:eastAsiaTheme="minorHAnsi"/>
                <w:shd w:val="clear" w:color="auto" w:fill="FFFFFF"/>
                <w:lang w:eastAsia="en-US"/>
              </w:rPr>
            </w:pPr>
            <w:r w:rsidRPr="00B34D7D">
              <w:rPr>
                <w:rFonts w:eastAsiaTheme="minorHAnsi"/>
                <w:shd w:val="clear" w:color="auto" w:fill="FFFFFF"/>
                <w:lang w:eastAsia="en-US"/>
              </w:rPr>
              <w:t>2,5</w:t>
            </w:r>
          </w:p>
        </w:tc>
      </w:tr>
      <w:tr w:rsidR="00DD66E5" w:rsidRPr="00B34D7D" w:rsidTr="00A73664">
        <w:tc>
          <w:tcPr>
            <w:tcW w:w="993" w:type="dxa"/>
          </w:tcPr>
          <w:p w:rsidR="00DD66E5" w:rsidRPr="00B34D7D" w:rsidRDefault="00DD66E5" w:rsidP="00A73664">
            <w:pPr>
              <w:jc w:val="both"/>
              <w:rPr>
                <w:rFonts w:eastAsiaTheme="minorHAnsi"/>
                <w:shd w:val="clear" w:color="auto" w:fill="FFFFFF"/>
                <w:lang w:eastAsia="en-US"/>
              </w:rPr>
            </w:pPr>
            <w:r w:rsidRPr="00B34D7D">
              <w:rPr>
                <w:rFonts w:eastAsiaTheme="minorHAnsi"/>
                <w:shd w:val="clear" w:color="auto" w:fill="FFFFFF"/>
                <w:lang w:eastAsia="en-US"/>
              </w:rPr>
              <w:t>2013</w:t>
            </w:r>
          </w:p>
        </w:tc>
        <w:tc>
          <w:tcPr>
            <w:tcW w:w="1701" w:type="dxa"/>
          </w:tcPr>
          <w:p w:rsidR="00DD66E5" w:rsidRPr="00B34D7D" w:rsidRDefault="00DD66E5" w:rsidP="00A73664">
            <w:pPr>
              <w:jc w:val="center"/>
              <w:rPr>
                <w:rFonts w:eastAsiaTheme="minorHAnsi"/>
                <w:shd w:val="clear" w:color="auto" w:fill="FFFFFF"/>
                <w:lang w:eastAsia="en-US"/>
              </w:rPr>
            </w:pPr>
            <w:r w:rsidRPr="00B34D7D">
              <w:rPr>
                <w:rFonts w:eastAsiaTheme="minorHAnsi"/>
                <w:shd w:val="clear" w:color="auto" w:fill="FFFFFF"/>
                <w:lang w:eastAsia="en-US"/>
              </w:rPr>
              <w:t>0,4</w:t>
            </w:r>
          </w:p>
        </w:tc>
        <w:tc>
          <w:tcPr>
            <w:tcW w:w="1701" w:type="dxa"/>
          </w:tcPr>
          <w:p w:rsidR="00DD66E5" w:rsidRPr="00B34D7D" w:rsidRDefault="00DD66E5" w:rsidP="00A73664">
            <w:pPr>
              <w:jc w:val="center"/>
              <w:rPr>
                <w:rFonts w:eastAsiaTheme="minorHAnsi"/>
                <w:shd w:val="clear" w:color="auto" w:fill="FFFFFF"/>
                <w:lang w:eastAsia="en-US"/>
              </w:rPr>
            </w:pPr>
            <w:r w:rsidRPr="00B34D7D">
              <w:rPr>
                <w:rFonts w:eastAsiaTheme="minorHAnsi"/>
                <w:shd w:val="clear" w:color="auto" w:fill="FFFFFF"/>
                <w:lang w:eastAsia="en-US"/>
              </w:rPr>
              <w:t>0,3</w:t>
            </w:r>
          </w:p>
        </w:tc>
        <w:tc>
          <w:tcPr>
            <w:tcW w:w="1559" w:type="dxa"/>
          </w:tcPr>
          <w:p w:rsidR="00DD66E5" w:rsidRPr="00B34D7D" w:rsidRDefault="00DD66E5" w:rsidP="00A73664">
            <w:pPr>
              <w:jc w:val="center"/>
              <w:rPr>
                <w:rFonts w:eastAsiaTheme="minorHAnsi"/>
                <w:shd w:val="clear" w:color="auto" w:fill="FFFFFF"/>
                <w:lang w:eastAsia="en-US"/>
              </w:rPr>
            </w:pPr>
            <w:r w:rsidRPr="00B34D7D">
              <w:rPr>
                <w:rFonts w:eastAsiaTheme="minorHAnsi"/>
                <w:shd w:val="clear" w:color="auto" w:fill="FFFFFF"/>
                <w:lang w:eastAsia="en-US"/>
              </w:rPr>
              <w:t>10,34</w:t>
            </w:r>
          </w:p>
        </w:tc>
        <w:tc>
          <w:tcPr>
            <w:tcW w:w="1701" w:type="dxa"/>
          </w:tcPr>
          <w:p w:rsidR="00DD66E5" w:rsidRPr="00B34D7D" w:rsidRDefault="00DD66E5" w:rsidP="00A73664">
            <w:pPr>
              <w:jc w:val="center"/>
              <w:rPr>
                <w:rFonts w:eastAsiaTheme="minorHAnsi"/>
                <w:shd w:val="clear" w:color="auto" w:fill="FFFFFF"/>
                <w:lang w:eastAsia="en-US"/>
              </w:rPr>
            </w:pPr>
            <w:r w:rsidRPr="00B34D7D">
              <w:rPr>
                <w:rFonts w:eastAsiaTheme="minorHAnsi"/>
                <w:shd w:val="clear" w:color="auto" w:fill="FFFFFF"/>
                <w:lang w:eastAsia="en-US"/>
              </w:rPr>
              <w:t>23,76</w:t>
            </w:r>
          </w:p>
        </w:tc>
        <w:tc>
          <w:tcPr>
            <w:tcW w:w="1984" w:type="dxa"/>
          </w:tcPr>
          <w:p w:rsidR="00DD66E5" w:rsidRPr="00B34D7D" w:rsidRDefault="00DD66E5" w:rsidP="00A73664">
            <w:pPr>
              <w:jc w:val="center"/>
              <w:rPr>
                <w:rFonts w:eastAsiaTheme="minorHAnsi"/>
                <w:shd w:val="clear" w:color="auto" w:fill="FFFFFF"/>
                <w:lang w:eastAsia="en-US"/>
              </w:rPr>
            </w:pPr>
            <w:r w:rsidRPr="00B34D7D">
              <w:rPr>
                <w:rFonts w:eastAsiaTheme="minorHAnsi"/>
                <w:shd w:val="clear" w:color="auto" w:fill="FFFFFF"/>
                <w:lang w:eastAsia="en-US"/>
              </w:rPr>
              <w:t>2,3</w:t>
            </w:r>
          </w:p>
        </w:tc>
      </w:tr>
      <w:tr w:rsidR="00DD66E5" w:rsidRPr="00B34D7D" w:rsidTr="00A73664">
        <w:tc>
          <w:tcPr>
            <w:tcW w:w="993" w:type="dxa"/>
          </w:tcPr>
          <w:p w:rsidR="00DD66E5" w:rsidRPr="00B34D7D" w:rsidRDefault="00DD66E5" w:rsidP="00A73664">
            <w:pPr>
              <w:jc w:val="both"/>
              <w:rPr>
                <w:rFonts w:eastAsiaTheme="minorHAnsi"/>
                <w:shd w:val="clear" w:color="auto" w:fill="FFFFFF"/>
                <w:lang w:eastAsia="en-US"/>
              </w:rPr>
            </w:pPr>
            <w:r w:rsidRPr="00B34D7D">
              <w:rPr>
                <w:rFonts w:eastAsiaTheme="minorHAnsi"/>
                <w:shd w:val="clear" w:color="auto" w:fill="FFFFFF"/>
                <w:lang w:eastAsia="en-US"/>
              </w:rPr>
              <w:t>2014</w:t>
            </w:r>
          </w:p>
        </w:tc>
        <w:tc>
          <w:tcPr>
            <w:tcW w:w="1701" w:type="dxa"/>
          </w:tcPr>
          <w:p w:rsidR="00DD66E5" w:rsidRPr="00B34D7D" w:rsidRDefault="00DD66E5" w:rsidP="00A73664">
            <w:pPr>
              <w:jc w:val="center"/>
              <w:rPr>
                <w:rFonts w:eastAsiaTheme="minorHAnsi"/>
                <w:shd w:val="clear" w:color="auto" w:fill="FFFFFF"/>
                <w:lang w:eastAsia="en-US"/>
              </w:rPr>
            </w:pPr>
            <w:r w:rsidRPr="00B34D7D">
              <w:rPr>
                <w:rFonts w:eastAsiaTheme="minorHAnsi"/>
                <w:shd w:val="clear" w:color="auto" w:fill="FFFFFF"/>
                <w:lang w:eastAsia="en-US"/>
              </w:rPr>
              <w:t>0,4</w:t>
            </w:r>
          </w:p>
        </w:tc>
        <w:tc>
          <w:tcPr>
            <w:tcW w:w="1701" w:type="dxa"/>
          </w:tcPr>
          <w:p w:rsidR="00DD66E5" w:rsidRPr="00B34D7D" w:rsidRDefault="00DD66E5" w:rsidP="00A73664">
            <w:pPr>
              <w:jc w:val="center"/>
              <w:rPr>
                <w:rFonts w:eastAsiaTheme="minorHAnsi"/>
                <w:shd w:val="clear" w:color="auto" w:fill="FFFFFF"/>
                <w:lang w:eastAsia="en-US"/>
              </w:rPr>
            </w:pPr>
            <w:r w:rsidRPr="00B34D7D">
              <w:rPr>
                <w:rFonts w:eastAsiaTheme="minorHAnsi"/>
                <w:shd w:val="clear" w:color="auto" w:fill="FFFFFF"/>
                <w:lang w:eastAsia="en-US"/>
              </w:rPr>
              <w:t>0,3</w:t>
            </w:r>
          </w:p>
        </w:tc>
        <w:tc>
          <w:tcPr>
            <w:tcW w:w="1559" w:type="dxa"/>
          </w:tcPr>
          <w:p w:rsidR="00DD66E5" w:rsidRPr="00B34D7D" w:rsidRDefault="00DD66E5" w:rsidP="00A73664">
            <w:pPr>
              <w:jc w:val="center"/>
              <w:rPr>
                <w:rFonts w:eastAsiaTheme="minorHAnsi"/>
                <w:shd w:val="clear" w:color="auto" w:fill="FFFFFF"/>
                <w:lang w:eastAsia="en-US"/>
              </w:rPr>
            </w:pPr>
            <w:r w:rsidRPr="00B34D7D">
              <w:rPr>
                <w:rFonts w:eastAsiaTheme="minorHAnsi"/>
                <w:shd w:val="clear" w:color="auto" w:fill="FFFFFF"/>
                <w:lang w:eastAsia="en-US"/>
              </w:rPr>
              <w:t>11,49</w:t>
            </w:r>
          </w:p>
        </w:tc>
        <w:tc>
          <w:tcPr>
            <w:tcW w:w="1701" w:type="dxa"/>
          </w:tcPr>
          <w:p w:rsidR="00DD66E5" w:rsidRPr="00B34D7D" w:rsidRDefault="00DD66E5" w:rsidP="00A73664">
            <w:pPr>
              <w:jc w:val="center"/>
              <w:rPr>
                <w:rFonts w:eastAsiaTheme="minorHAnsi"/>
                <w:shd w:val="clear" w:color="auto" w:fill="FFFFFF"/>
                <w:lang w:eastAsia="en-US"/>
              </w:rPr>
            </w:pPr>
            <w:r w:rsidRPr="00B34D7D">
              <w:rPr>
                <w:rFonts w:eastAsiaTheme="minorHAnsi"/>
                <w:shd w:val="clear" w:color="auto" w:fill="FFFFFF"/>
                <w:lang w:eastAsia="en-US"/>
              </w:rPr>
              <w:t>22,12</w:t>
            </w:r>
          </w:p>
        </w:tc>
        <w:tc>
          <w:tcPr>
            <w:tcW w:w="1984" w:type="dxa"/>
          </w:tcPr>
          <w:p w:rsidR="00DD66E5" w:rsidRPr="00B34D7D" w:rsidRDefault="00DD66E5" w:rsidP="00A73664">
            <w:pPr>
              <w:jc w:val="center"/>
              <w:rPr>
                <w:rFonts w:eastAsiaTheme="minorHAnsi"/>
                <w:shd w:val="clear" w:color="auto" w:fill="FFFFFF"/>
                <w:lang w:eastAsia="en-US"/>
              </w:rPr>
            </w:pPr>
            <w:r w:rsidRPr="00B34D7D">
              <w:rPr>
                <w:rFonts w:eastAsiaTheme="minorHAnsi"/>
                <w:shd w:val="clear" w:color="auto" w:fill="FFFFFF"/>
                <w:lang w:eastAsia="en-US"/>
              </w:rPr>
              <w:t>1,9</w:t>
            </w:r>
          </w:p>
        </w:tc>
      </w:tr>
      <w:tr w:rsidR="00DD66E5" w:rsidRPr="00B34D7D" w:rsidTr="00A73664">
        <w:tc>
          <w:tcPr>
            <w:tcW w:w="993" w:type="dxa"/>
          </w:tcPr>
          <w:p w:rsidR="00DD66E5" w:rsidRPr="00B34D7D" w:rsidRDefault="00DD66E5" w:rsidP="00A73664">
            <w:pPr>
              <w:jc w:val="both"/>
              <w:rPr>
                <w:rFonts w:eastAsiaTheme="minorHAnsi"/>
                <w:shd w:val="clear" w:color="auto" w:fill="FFFFFF"/>
                <w:lang w:eastAsia="en-US"/>
              </w:rPr>
            </w:pPr>
            <w:r w:rsidRPr="00B34D7D">
              <w:rPr>
                <w:rFonts w:eastAsiaTheme="minorHAnsi"/>
                <w:shd w:val="clear" w:color="auto" w:fill="FFFFFF"/>
                <w:lang w:eastAsia="en-US"/>
              </w:rPr>
              <w:t>2015</w:t>
            </w:r>
          </w:p>
        </w:tc>
        <w:tc>
          <w:tcPr>
            <w:tcW w:w="1701" w:type="dxa"/>
          </w:tcPr>
          <w:p w:rsidR="00DD66E5" w:rsidRPr="00B34D7D" w:rsidRDefault="00DD66E5" w:rsidP="00A73664">
            <w:pPr>
              <w:jc w:val="center"/>
              <w:rPr>
                <w:rFonts w:eastAsiaTheme="minorHAnsi"/>
                <w:shd w:val="clear" w:color="auto" w:fill="FFFFFF"/>
                <w:lang w:eastAsia="en-US"/>
              </w:rPr>
            </w:pPr>
            <w:r w:rsidRPr="00B34D7D">
              <w:rPr>
                <w:rFonts w:eastAsiaTheme="minorHAnsi"/>
                <w:shd w:val="clear" w:color="auto" w:fill="FFFFFF"/>
                <w:lang w:eastAsia="en-US"/>
              </w:rPr>
              <w:t>1,2</w:t>
            </w:r>
          </w:p>
        </w:tc>
        <w:tc>
          <w:tcPr>
            <w:tcW w:w="1701" w:type="dxa"/>
          </w:tcPr>
          <w:p w:rsidR="00DD66E5" w:rsidRPr="00B34D7D" w:rsidRDefault="00DD66E5" w:rsidP="00A73664">
            <w:pPr>
              <w:jc w:val="center"/>
              <w:rPr>
                <w:rFonts w:eastAsiaTheme="minorHAnsi"/>
                <w:shd w:val="clear" w:color="auto" w:fill="FFFFFF"/>
                <w:lang w:eastAsia="en-US"/>
              </w:rPr>
            </w:pPr>
            <w:r w:rsidRPr="00B34D7D">
              <w:rPr>
                <w:rFonts w:eastAsiaTheme="minorHAnsi"/>
                <w:shd w:val="clear" w:color="auto" w:fill="FFFFFF"/>
                <w:lang w:eastAsia="en-US"/>
              </w:rPr>
              <w:t>0,6</w:t>
            </w:r>
          </w:p>
        </w:tc>
        <w:tc>
          <w:tcPr>
            <w:tcW w:w="1559" w:type="dxa"/>
          </w:tcPr>
          <w:p w:rsidR="00DD66E5" w:rsidRPr="00B34D7D" w:rsidRDefault="00DD66E5" w:rsidP="00A73664">
            <w:pPr>
              <w:jc w:val="center"/>
              <w:rPr>
                <w:rFonts w:eastAsiaTheme="minorHAnsi"/>
                <w:shd w:val="clear" w:color="auto" w:fill="FFFFFF"/>
                <w:lang w:eastAsia="en-US"/>
              </w:rPr>
            </w:pPr>
            <w:r w:rsidRPr="00B34D7D">
              <w:rPr>
                <w:rFonts w:eastAsiaTheme="minorHAnsi"/>
                <w:shd w:val="clear" w:color="auto" w:fill="FFFFFF"/>
                <w:lang w:eastAsia="en-US"/>
              </w:rPr>
              <w:t>35,6</w:t>
            </w:r>
          </w:p>
        </w:tc>
        <w:tc>
          <w:tcPr>
            <w:tcW w:w="1701" w:type="dxa"/>
          </w:tcPr>
          <w:p w:rsidR="00DD66E5" w:rsidRPr="00B34D7D" w:rsidRDefault="00DD66E5" w:rsidP="00A73664">
            <w:pPr>
              <w:jc w:val="center"/>
              <w:rPr>
                <w:rFonts w:eastAsiaTheme="minorHAnsi"/>
                <w:shd w:val="clear" w:color="auto" w:fill="FFFFFF"/>
                <w:lang w:eastAsia="en-US"/>
              </w:rPr>
            </w:pPr>
            <w:r w:rsidRPr="00B34D7D">
              <w:rPr>
                <w:rFonts w:eastAsiaTheme="minorHAnsi"/>
                <w:shd w:val="clear" w:color="auto" w:fill="FFFFFF"/>
                <w:lang w:eastAsia="en-US"/>
              </w:rPr>
              <w:t>61,32</w:t>
            </w:r>
          </w:p>
        </w:tc>
        <w:tc>
          <w:tcPr>
            <w:tcW w:w="1984" w:type="dxa"/>
          </w:tcPr>
          <w:p w:rsidR="00DD66E5" w:rsidRPr="00B34D7D" w:rsidRDefault="00DD66E5" w:rsidP="00A73664">
            <w:pPr>
              <w:jc w:val="center"/>
              <w:rPr>
                <w:rFonts w:eastAsiaTheme="minorHAnsi"/>
                <w:shd w:val="clear" w:color="auto" w:fill="FFFFFF"/>
                <w:lang w:eastAsia="en-US"/>
              </w:rPr>
            </w:pPr>
            <w:r w:rsidRPr="00B34D7D">
              <w:rPr>
                <w:rFonts w:eastAsiaTheme="minorHAnsi"/>
                <w:shd w:val="clear" w:color="auto" w:fill="FFFFFF"/>
                <w:lang w:eastAsia="en-US"/>
              </w:rPr>
              <w:t>1,7</w:t>
            </w:r>
          </w:p>
        </w:tc>
      </w:tr>
    </w:tbl>
    <w:p w:rsidR="00DD66E5" w:rsidRPr="00335301" w:rsidRDefault="00DD66E5" w:rsidP="00DD66E5">
      <w:pPr>
        <w:ind w:firstLine="709"/>
        <w:jc w:val="both"/>
        <w:rPr>
          <w:rFonts w:eastAsiaTheme="minorHAnsi"/>
          <w:sz w:val="20"/>
          <w:szCs w:val="20"/>
          <w:shd w:val="clear" w:color="auto" w:fill="FFFFFF"/>
          <w:lang w:eastAsia="en-US"/>
        </w:rPr>
      </w:pPr>
      <w:r w:rsidRPr="00335301">
        <w:rPr>
          <w:rFonts w:eastAsiaTheme="minorHAnsi"/>
          <w:sz w:val="20"/>
          <w:szCs w:val="20"/>
          <w:shd w:val="clear" w:color="auto" w:fill="FFFFFF"/>
          <w:lang w:eastAsia="en-US"/>
        </w:rPr>
        <w:t>* на оплату житла, комунальних продуктів та послуг (готівкою та безготівкових) у сукупних ресурсах групи домогосподарств першого дециля (в середньому на місяць на одне домогосподарство)</w:t>
      </w:r>
      <w:r w:rsidR="00307BFD">
        <w:rPr>
          <w:rFonts w:eastAsiaTheme="minorHAnsi"/>
          <w:sz w:val="20"/>
          <w:szCs w:val="20"/>
          <w:shd w:val="clear" w:color="auto" w:fill="FFFFFF"/>
          <w:lang w:eastAsia="en-US"/>
        </w:rPr>
        <w:t>, %;</w:t>
      </w:r>
    </w:p>
    <w:p w:rsidR="00DD66E5" w:rsidRPr="00335301" w:rsidRDefault="00DD66E5" w:rsidP="00DD66E5">
      <w:pPr>
        <w:ind w:firstLine="709"/>
        <w:jc w:val="both"/>
        <w:rPr>
          <w:rFonts w:eastAsiaTheme="minorHAnsi"/>
          <w:sz w:val="20"/>
          <w:szCs w:val="20"/>
          <w:shd w:val="clear" w:color="auto" w:fill="FFFFFF"/>
          <w:lang w:eastAsia="en-US"/>
        </w:rPr>
      </w:pPr>
      <w:r w:rsidRPr="00335301">
        <w:rPr>
          <w:rFonts w:eastAsiaTheme="minorHAnsi"/>
          <w:sz w:val="20"/>
          <w:szCs w:val="20"/>
          <w:shd w:val="clear" w:color="auto" w:fill="FFFFFF"/>
          <w:lang w:eastAsia="en-US"/>
        </w:rPr>
        <w:t>**на оплату житла, комунальних продуктів та послуг (готівкою та безготівкових) у сукупних ресурсах групи домогосподарств десятого дециля (в середньому на місяць на одне домогосподарство)</w:t>
      </w:r>
      <w:r w:rsidR="00307BFD">
        <w:rPr>
          <w:rFonts w:eastAsiaTheme="minorHAnsi"/>
          <w:sz w:val="20"/>
          <w:szCs w:val="20"/>
          <w:shd w:val="clear" w:color="auto" w:fill="FFFFFF"/>
          <w:lang w:eastAsia="en-US"/>
        </w:rPr>
        <w:t>, %.</w:t>
      </w:r>
    </w:p>
    <w:p w:rsidR="00807094" w:rsidRPr="00E172E4" w:rsidRDefault="00807094" w:rsidP="00DD66E5">
      <w:pPr>
        <w:spacing w:line="360" w:lineRule="auto"/>
        <w:ind w:firstLine="709"/>
        <w:jc w:val="both"/>
        <w:rPr>
          <w:rFonts w:eastAsiaTheme="minorHAnsi"/>
          <w:sz w:val="20"/>
          <w:szCs w:val="20"/>
          <w:shd w:val="clear" w:color="auto" w:fill="FFFFFF"/>
          <w:lang w:val="ru-RU" w:eastAsia="en-US"/>
        </w:rPr>
      </w:pPr>
    </w:p>
    <w:p w:rsidR="00DD66E5" w:rsidRPr="00B34D7D" w:rsidRDefault="00DD66E5" w:rsidP="00E36727">
      <w:pPr>
        <w:ind w:firstLine="709"/>
        <w:jc w:val="both"/>
        <w:rPr>
          <w:rFonts w:eastAsiaTheme="minorHAnsi"/>
          <w:highlight w:val="cyan"/>
          <w:shd w:val="clear" w:color="auto" w:fill="FFFFFF"/>
          <w:lang w:eastAsia="en-US"/>
        </w:rPr>
      </w:pPr>
      <w:r w:rsidRPr="00B34D7D">
        <w:rPr>
          <w:rFonts w:eastAsiaTheme="minorHAnsi"/>
          <w:shd w:val="clear" w:color="auto" w:fill="FFFFFF"/>
          <w:lang w:eastAsia="en-US"/>
        </w:rPr>
        <w:t xml:space="preserve">Варто відмітити, що у досліджуваному періоді намітилась позитивна динаміка щодо зменшення різниці між обсягом пільг і субсидій на житлово-комунальні послуги, що припадає на одне домогосподарство з груп першого та десятого децилів. Зазначене дає підстави припустити, що удосконалення механізму надання житлових субсидій дозволило отримати хоч і незначні та все ж позитивні результати в частині посилення адресності цього виду допомоги. Водночас, питома вага бідного населення (за абсолютним критерієм) серед одержувачів субсидій має стійку динаміку до зниження (рис. </w:t>
      </w:r>
      <w:r>
        <w:rPr>
          <w:rFonts w:eastAsiaTheme="minorHAnsi"/>
          <w:shd w:val="clear" w:color="auto" w:fill="FFFFFF"/>
          <w:lang w:eastAsia="en-US"/>
        </w:rPr>
        <w:t>3</w:t>
      </w:r>
      <w:r w:rsidRPr="00B34D7D">
        <w:rPr>
          <w:rFonts w:eastAsiaTheme="minorHAnsi"/>
          <w:shd w:val="clear" w:color="auto" w:fill="FFFFFF"/>
          <w:lang w:eastAsia="en-US"/>
        </w:rPr>
        <w:t xml:space="preserve">), що свідчить про протилежне – зменшення адресності житлових субсидій. </w:t>
      </w:r>
    </w:p>
    <w:p w:rsidR="00DD66E5" w:rsidRPr="00B34D7D" w:rsidRDefault="00DD66E5" w:rsidP="00DD66E5">
      <w:pPr>
        <w:spacing w:line="360" w:lineRule="auto"/>
        <w:ind w:firstLine="709"/>
        <w:jc w:val="both"/>
        <w:rPr>
          <w:rFonts w:eastAsiaTheme="minorHAnsi"/>
          <w:shd w:val="clear" w:color="auto" w:fill="FFFFFF"/>
          <w:lang w:eastAsia="en-US"/>
        </w:rPr>
      </w:pPr>
      <w:r w:rsidRPr="00B34D7D">
        <w:rPr>
          <w:rFonts w:eastAsiaTheme="minorHAnsi"/>
          <w:noProof/>
          <w:shd w:val="clear" w:color="auto" w:fill="FFFFFF"/>
        </w:rPr>
        <w:drawing>
          <wp:inline distT="0" distB="0" distL="0" distR="0" wp14:anchorId="19EB0BB0" wp14:editId="692C212C">
            <wp:extent cx="5486400" cy="1576317"/>
            <wp:effectExtent l="0" t="0" r="19050" b="2413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D66E5" w:rsidRPr="00B34D7D" w:rsidRDefault="00DD66E5" w:rsidP="00447C51">
      <w:pPr>
        <w:ind w:firstLine="709"/>
        <w:jc w:val="center"/>
        <w:rPr>
          <w:rFonts w:eastAsiaTheme="minorHAnsi"/>
          <w:b/>
          <w:shd w:val="clear" w:color="auto" w:fill="FFFFFF"/>
          <w:lang w:eastAsia="en-US"/>
        </w:rPr>
      </w:pPr>
      <w:r w:rsidRPr="00B34D7D">
        <w:rPr>
          <w:rFonts w:eastAsiaTheme="minorHAnsi"/>
          <w:b/>
          <w:shd w:val="clear" w:color="auto" w:fill="FFFFFF"/>
          <w:lang w:eastAsia="en-US"/>
        </w:rPr>
        <w:t xml:space="preserve">Рис. </w:t>
      </w:r>
      <w:r>
        <w:rPr>
          <w:rFonts w:eastAsiaTheme="minorHAnsi"/>
          <w:b/>
          <w:shd w:val="clear" w:color="auto" w:fill="FFFFFF"/>
          <w:lang w:eastAsia="en-US"/>
        </w:rPr>
        <w:t>3</w:t>
      </w:r>
      <w:r w:rsidRPr="00B34D7D">
        <w:rPr>
          <w:rFonts w:eastAsiaTheme="minorHAnsi"/>
          <w:b/>
          <w:shd w:val="clear" w:color="auto" w:fill="FFFFFF"/>
          <w:lang w:eastAsia="en-US"/>
        </w:rPr>
        <w:t>.  Питома вага бідних (за абсолютним критерієм) серед одержувачів житлових субсидій</w:t>
      </w:r>
    </w:p>
    <w:p w:rsidR="00DD66E5" w:rsidRPr="00807094" w:rsidRDefault="00807094" w:rsidP="00447C51">
      <w:pPr>
        <w:ind w:firstLine="709"/>
        <w:jc w:val="both"/>
        <w:rPr>
          <w:rFonts w:eastAsiaTheme="minorHAnsi"/>
          <w:sz w:val="20"/>
          <w:szCs w:val="20"/>
          <w:shd w:val="clear" w:color="auto" w:fill="FFFFFF"/>
          <w:lang w:val="ru-RU" w:eastAsia="en-US"/>
        </w:rPr>
      </w:pPr>
      <w:r w:rsidRPr="00807094">
        <w:rPr>
          <w:rFonts w:eastAsiaTheme="minorHAnsi"/>
          <w:sz w:val="20"/>
          <w:szCs w:val="20"/>
          <w:shd w:val="clear" w:color="auto" w:fill="FFFFFF"/>
          <w:lang w:eastAsia="en-US"/>
        </w:rPr>
        <w:t>*</w:t>
      </w:r>
      <w:proofErr w:type="spellStart"/>
      <w:r>
        <w:rPr>
          <w:rFonts w:eastAsiaTheme="minorHAnsi"/>
          <w:sz w:val="20"/>
          <w:szCs w:val="20"/>
          <w:shd w:val="clear" w:color="auto" w:fill="FFFFFF"/>
          <w:lang w:val="ru-RU" w:eastAsia="en-US"/>
        </w:rPr>
        <w:t>розраховано</w:t>
      </w:r>
      <w:proofErr w:type="spellEnd"/>
      <w:r>
        <w:rPr>
          <w:rFonts w:eastAsiaTheme="minorHAnsi"/>
          <w:sz w:val="20"/>
          <w:szCs w:val="20"/>
          <w:shd w:val="clear" w:color="auto" w:fill="FFFFFF"/>
          <w:lang w:val="ru-RU" w:eastAsia="en-US"/>
        </w:rPr>
        <w:t xml:space="preserve"> і </w:t>
      </w:r>
      <w:r w:rsidRPr="00807094">
        <w:rPr>
          <w:rFonts w:eastAsiaTheme="minorHAnsi"/>
          <w:sz w:val="20"/>
          <w:szCs w:val="20"/>
          <w:shd w:val="clear" w:color="auto" w:fill="FFFFFF"/>
          <w:lang w:eastAsia="en-US"/>
        </w:rPr>
        <w:t>побудовано на основі даних Державного комітету статистики [www.ukrstat.gov.ua]</w:t>
      </w:r>
    </w:p>
    <w:p w:rsidR="00807094" w:rsidRPr="00807094" w:rsidRDefault="00807094" w:rsidP="00447C51">
      <w:pPr>
        <w:ind w:firstLine="709"/>
        <w:jc w:val="both"/>
        <w:rPr>
          <w:rFonts w:eastAsiaTheme="minorHAnsi"/>
          <w:sz w:val="20"/>
          <w:szCs w:val="20"/>
          <w:shd w:val="clear" w:color="auto" w:fill="FFFFFF"/>
          <w:lang w:val="ru-RU" w:eastAsia="en-US"/>
        </w:rPr>
      </w:pPr>
    </w:p>
    <w:p w:rsidR="00DD66E5" w:rsidRPr="00B34D7D" w:rsidRDefault="00DD66E5" w:rsidP="00447C51">
      <w:pPr>
        <w:ind w:firstLine="709"/>
        <w:jc w:val="both"/>
        <w:rPr>
          <w:rFonts w:eastAsiaTheme="minorHAnsi"/>
          <w:shd w:val="clear" w:color="auto" w:fill="FFFFFF"/>
          <w:lang w:eastAsia="en-US"/>
        </w:rPr>
      </w:pPr>
      <w:r w:rsidRPr="00B34D7D">
        <w:rPr>
          <w:rFonts w:eastAsiaTheme="minorHAnsi"/>
          <w:shd w:val="clear" w:color="auto" w:fill="FFFFFF"/>
          <w:lang w:eastAsia="en-US"/>
        </w:rPr>
        <w:t>Таку суперечливість висновків можна пояснити методологічними проблемами розрахунку прожиткового мінімуму в Україні, який використовується для визначення бідності за абсолютним критерієм та є базовим соціальним стандартом при визначенні розмірів різних видів соціальної допомоги.</w:t>
      </w:r>
    </w:p>
    <w:p w:rsidR="00DD66E5" w:rsidRPr="00B34D7D" w:rsidRDefault="00447C51" w:rsidP="00447C51">
      <w:pPr>
        <w:ind w:firstLine="709"/>
        <w:jc w:val="both"/>
        <w:rPr>
          <w:rFonts w:eastAsiaTheme="minorHAnsi"/>
          <w:shd w:val="clear" w:color="auto" w:fill="FFFFFF"/>
          <w:lang w:eastAsia="en-US"/>
        </w:rPr>
      </w:pPr>
      <w:r>
        <w:rPr>
          <w:rFonts w:eastAsiaTheme="minorHAnsi"/>
          <w:shd w:val="clear" w:color="auto" w:fill="FFFFFF"/>
          <w:lang w:eastAsia="en-US"/>
        </w:rPr>
        <w:t>Як вже зазначалось вище, р</w:t>
      </w:r>
      <w:r w:rsidR="00DD66E5" w:rsidRPr="00B34D7D">
        <w:rPr>
          <w:rFonts w:eastAsiaTheme="minorHAnsi"/>
          <w:shd w:val="clear" w:color="auto" w:fill="FFFFFF"/>
          <w:lang w:eastAsia="en-US"/>
        </w:rPr>
        <w:t>озмір офіційно затвердженого прожиткового мінімуму є значно нижчим, ніж фактичний, що розраховується Міністерством соціальної політики України щомісячно (рис. 4).</w:t>
      </w:r>
    </w:p>
    <w:p w:rsidR="00DD66E5" w:rsidRPr="00B34D7D" w:rsidRDefault="00DD66E5" w:rsidP="00DD66E5">
      <w:pPr>
        <w:spacing w:line="360" w:lineRule="auto"/>
        <w:ind w:firstLine="709"/>
        <w:jc w:val="both"/>
        <w:rPr>
          <w:rFonts w:eastAsiaTheme="minorHAnsi"/>
          <w:highlight w:val="cyan"/>
          <w:shd w:val="clear" w:color="auto" w:fill="FFFFFF"/>
          <w:lang w:eastAsia="en-US"/>
        </w:rPr>
      </w:pPr>
      <w:r w:rsidRPr="00B34D7D">
        <w:rPr>
          <w:rFonts w:eastAsiaTheme="minorHAnsi"/>
          <w:noProof/>
          <w:highlight w:val="cyan"/>
          <w:shd w:val="clear" w:color="auto" w:fill="FFFFFF"/>
        </w:rPr>
        <w:drawing>
          <wp:inline distT="0" distB="0" distL="0" distR="0" wp14:anchorId="5D0184B3" wp14:editId="1E4CC090">
            <wp:extent cx="5486400" cy="2231409"/>
            <wp:effectExtent l="0" t="0" r="19050" b="1651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D66E5" w:rsidRPr="00B34D7D" w:rsidRDefault="00DD66E5" w:rsidP="00447C51">
      <w:pPr>
        <w:jc w:val="center"/>
        <w:rPr>
          <w:b/>
          <w:color w:val="000000"/>
        </w:rPr>
      </w:pPr>
      <w:r w:rsidRPr="00B34D7D">
        <w:rPr>
          <w:b/>
          <w:color w:val="000000"/>
        </w:rPr>
        <w:t xml:space="preserve">Рис. 4. Відношення </w:t>
      </w:r>
      <w:r w:rsidR="00447C51" w:rsidRPr="00447C51">
        <w:rPr>
          <w:b/>
          <w:color w:val="000000"/>
        </w:rPr>
        <w:t xml:space="preserve">офіційно затвердженого </w:t>
      </w:r>
      <w:r w:rsidRPr="00B34D7D">
        <w:rPr>
          <w:b/>
          <w:color w:val="000000"/>
        </w:rPr>
        <w:t>розміру прожиткового мінімуму в середньому на одну особу в місяць до</w:t>
      </w:r>
      <w:r w:rsidR="00447C51" w:rsidRPr="00447C51">
        <w:t xml:space="preserve"> </w:t>
      </w:r>
      <w:r w:rsidR="00447C51" w:rsidRPr="00447C51">
        <w:rPr>
          <w:b/>
          <w:color w:val="000000"/>
        </w:rPr>
        <w:t>фактичного</w:t>
      </w:r>
      <w:r w:rsidRPr="00B34D7D">
        <w:rPr>
          <w:b/>
          <w:color w:val="000000"/>
        </w:rPr>
        <w:t>, %</w:t>
      </w:r>
    </w:p>
    <w:p w:rsidR="00807094" w:rsidRDefault="00807094" w:rsidP="00807094">
      <w:pPr>
        <w:ind w:firstLine="709"/>
        <w:jc w:val="both"/>
        <w:rPr>
          <w:rFonts w:eastAsiaTheme="minorHAnsi"/>
          <w:color w:val="000000"/>
          <w:sz w:val="20"/>
          <w:szCs w:val="20"/>
          <w:shd w:val="clear" w:color="auto" w:fill="FFFFFF"/>
          <w:lang w:eastAsia="en-US"/>
        </w:rPr>
      </w:pPr>
    </w:p>
    <w:p w:rsidR="00DD66E5" w:rsidRPr="00807094" w:rsidRDefault="00807094" w:rsidP="00807094">
      <w:pPr>
        <w:ind w:firstLine="709"/>
        <w:jc w:val="both"/>
        <w:rPr>
          <w:rFonts w:eastAsiaTheme="minorHAnsi"/>
          <w:color w:val="000000"/>
          <w:sz w:val="20"/>
          <w:szCs w:val="20"/>
          <w:shd w:val="clear" w:color="auto" w:fill="FFFFFF"/>
          <w:lang w:eastAsia="en-US"/>
        </w:rPr>
      </w:pPr>
      <w:r w:rsidRPr="00807094">
        <w:rPr>
          <w:rFonts w:eastAsiaTheme="minorHAnsi"/>
          <w:color w:val="000000"/>
          <w:sz w:val="20"/>
          <w:szCs w:val="20"/>
          <w:shd w:val="clear" w:color="auto" w:fill="FFFFFF"/>
          <w:lang w:eastAsia="en-US"/>
        </w:rPr>
        <w:t>*побудовано на основі даних Міністерства соціальної політики України (розділ «Моніторинг показників соціальної сфери») [http://www.mlsp.gov.ua/labour/control/uk/publish/category?cat_id=141688]</w:t>
      </w:r>
    </w:p>
    <w:p w:rsidR="00807094" w:rsidRDefault="00807094" w:rsidP="00447C51">
      <w:pPr>
        <w:ind w:firstLine="709"/>
        <w:jc w:val="both"/>
        <w:rPr>
          <w:rFonts w:eastAsiaTheme="minorHAnsi"/>
          <w:shd w:val="clear" w:color="auto" w:fill="FFFFFF"/>
          <w:lang w:eastAsia="en-US"/>
        </w:rPr>
      </w:pPr>
    </w:p>
    <w:p w:rsidR="00447C51" w:rsidRPr="00B34D7D" w:rsidRDefault="00447C51" w:rsidP="00447C51">
      <w:pPr>
        <w:ind w:firstLine="709"/>
        <w:jc w:val="both"/>
        <w:rPr>
          <w:rFonts w:eastAsiaTheme="minorHAnsi"/>
          <w:shd w:val="clear" w:color="auto" w:fill="FFFFFF"/>
          <w:lang w:eastAsia="en-US"/>
        </w:rPr>
      </w:pPr>
      <w:r w:rsidRPr="00B34D7D">
        <w:rPr>
          <w:rFonts w:eastAsiaTheme="minorHAnsi"/>
          <w:shd w:val="clear" w:color="auto" w:fill="FFFFFF"/>
          <w:lang w:eastAsia="en-US"/>
        </w:rPr>
        <w:t xml:space="preserve">Так, за період з квітня 2015 р. по липень 2016 р. затверджений розмір прожиткового мінімуму, розрахований за методикою 2000 р.!!! був нижчим  фактичного більш як у два рази. Окрім того, норми на основні продукти харчування, що закладені у даній методиці практично по всіх основних продуктах харчування, крім хліба і хлібобулочних виробів, є нижчими на 20 – 60 %, ніж </w:t>
      </w:r>
      <w:r w:rsidR="004F2949">
        <w:rPr>
          <w:rFonts w:eastAsiaTheme="minorHAnsi"/>
          <w:shd w:val="clear" w:color="auto" w:fill="FFFFFF"/>
          <w:lang w:eastAsia="en-US"/>
        </w:rPr>
        <w:t>оптимальні</w:t>
      </w:r>
      <w:r w:rsidRPr="00B34D7D">
        <w:rPr>
          <w:rFonts w:eastAsiaTheme="minorHAnsi"/>
          <w:shd w:val="clear" w:color="auto" w:fill="FFFFFF"/>
          <w:lang w:eastAsia="en-US"/>
        </w:rPr>
        <w:t xml:space="preserve"> значення індикаторів продовольчої безпеки, які були затверджені наказом Міністерства економіки у 2007 р.</w:t>
      </w:r>
      <w:r w:rsidR="00807094">
        <w:rPr>
          <w:rFonts w:eastAsiaTheme="minorHAnsi"/>
          <w:shd w:val="clear" w:color="auto" w:fill="FFFFFF"/>
          <w:lang w:eastAsia="en-US"/>
        </w:rPr>
        <w:t xml:space="preserve"> </w:t>
      </w:r>
      <w:r w:rsidR="00807094" w:rsidRPr="00807094">
        <w:rPr>
          <w:rFonts w:eastAsiaTheme="minorHAnsi"/>
          <w:shd w:val="clear" w:color="auto" w:fill="FFFFFF"/>
          <w:lang w:eastAsia="en-US"/>
        </w:rPr>
        <w:t>[</w:t>
      </w:r>
      <w:r w:rsidR="00585DB2" w:rsidRPr="00585DB2">
        <w:rPr>
          <w:rFonts w:eastAsiaTheme="minorHAnsi"/>
          <w:shd w:val="clear" w:color="auto" w:fill="FFFFFF"/>
          <w:lang w:eastAsia="en-US"/>
        </w:rPr>
        <w:t>5</w:t>
      </w:r>
      <w:r w:rsidR="00807094" w:rsidRPr="00807094">
        <w:rPr>
          <w:rFonts w:eastAsiaTheme="minorHAnsi"/>
          <w:shd w:val="clear" w:color="auto" w:fill="FFFFFF"/>
          <w:lang w:eastAsia="en-US"/>
        </w:rPr>
        <w:t>]</w:t>
      </w:r>
      <w:r w:rsidR="00807094">
        <w:rPr>
          <w:rFonts w:eastAsiaTheme="minorHAnsi"/>
          <w:shd w:val="clear" w:color="auto" w:fill="FFFFFF"/>
          <w:lang w:eastAsia="en-US"/>
        </w:rPr>
        <w:t>.</w:t>
      </w:r>
      <w:r w:rsidRPr="00B34D7D">
        <w:rPr>
          <w:rFonts w:eastAsiaTheme="minorHAnsi"/>
          <w:shd w:val="clear" w:color="auto" w:fill="FFFFFF"/>
          <w:lang w:eastAsia="en-US"/>
        </w:rPr>
        <w:t xml:space="preserve"> Щоправда, даний наказ у 2013 р. втратив чинність. Замість приведення у відповідність норм харчування, що враховуються при розрахунку прожиткового мунімуму, до раціональних норм, зазначені індикатори </w:t>
      </w:r>
      <w:r w:rsidR="004F2949">
        <w:rPr>
          <w:rFonts w:eastAsiaTheme="minorHAnsi"/>
          <w:shd w:val="clear" w:color="auto" w:fill="FFFFFF"/>
          <w:lang w:eastAsia="en-US"/>
        </w:rPr>
        <w:t xml:space="preserve">були замінені </w:t>
      </w:r>
      <w:r w:rsidRPr="00B34D7D">
        <w:rPr>
          <w:rFonts w:eastAsiaTheme="minorHAnsi"/>
          <w:shd w:val="clear" w:color="auto" w:fill="FFFFFF"/>
          <w:lang w:eastAsia="en-US"/>
        </w:rPr>
        <w:t>на інші, не співставні з тими показниками, які враховуються при розрахунку прожиткового мінімуму.</w:t>
      </w:r>
    </w:p>
    <w:p w:rsidR="00447C51" w:rsidRDefault="00447C51" w:rsidP="004F2949">
      <w:pPr>
        <w:ind w:firstLine="709"/>
        <w:jc w:val="both"/>
        <w:rPr>
          <w:rFonts w:eastAsiaTheme="minorHAnsi"/>
          <w:shd w:val="clear" w:color="auto" w:fill="FFFFFF"/>
          <w:lang w:eastAsia="en-US"/>
        </w:rPr>
      </w:pPr>
      <w:r w:rsidRPr="00B34D7D">
        <w:rPr>
          <w:rFonts w:eastAsiaTheme="minorHAnsi"/>
          <w:shd w:val="clear" w:color="auto" w:fill="FFFFFF"/>
          <w:lang w:eastAsia="en-US"/>
        </w:rPr>
        <w:t>В результаті зазначених маніпуляцій з методикою розрахунку прожиткового мінімуму та затвердженням його розміру, рівень бідності за абсолютним критерієм є суттєво заниженим. А це в свою чергу суттєво вплинуло на показник бідності серед населення, що проживає у домогосподарствах, у складі яких є одержувачі житлових субсидій.</w:t>
      </w:r>
    </w:p>
    <w:p w:rsidR="00447C51" w:rsidRPr="00B34D7D" w:rsidRDefault="004F2949" w:rsidP="003F5007">
      <w:pPr>
        <w:ind w:firstLine="709"/>
        <w:jc w:val="both"/>
        <w:rPr>
          <w:rFonts w:eastAsiaTheme="minorHAnsi"/>
          <w:shd w:val="clear" w:color="auto" w:fill="FFFFFF"/>
          <w:lang w:eastAsia="en-US"/>
        </w:rPr>
      </w:pPr>
      <w:r>
        <w:rPr>
          <w:rFonts w:eastAsiaTheme="minorHAnsi"/>
          <w:shd w:val="clear" w:color="auto" w:fill="FFFFFF"/>
          <w:lang w:eastAsia="en-US"/>
        </w:rPr>
        <w:t xml:space="preserve">Неоднозначний вплив має і </w:t>
      </w:r>
      <w:r w:rsidR="003F5007">
        <w:rPr>
          <w:rFonts w:eastAsiaTheme="minorHAnsi"/>
          <w:shd w:val="clear" w:color="auto" w:fill="FFFFFF"/>
          <w:lang w:eastAsia="en-US"/>
        </w:rPr>
        <w:t xml:space="preserve">збільшення доступності </w:t>
      </w:r>
      <w:r w:rsidR="003F5007" w:rsidRPr="003F5007">
        <w:rPr>
          <w:rFonts w:eastAsiaTheme="minorHAnsi"/>
          <w:shd w:val="clear" w:color="auto" w:fill="FFFFFF"/>
          <w:lang w:eastAsia="en-US"/>
        </w:rPr>
        <w:t>житлових субсидій</w:t>
      </w:r>
      <w:r w:rsidR="003F5007">
        <w:rPr>
          <w:rFonts w:eastAsiaTheme="minorHAnsi"/>
          <w:shd w:val="clear" w:color="auto" w:fill="FFFFFF"/>
          <w:lang w:eastAsia="en-US"/>
        </w:rPr>
        <w:t xml:space="preserve">. Адже з одного боку він дозволяє більшості громадян реалізувати своє право на соціальний захист, а з іншого, </w:t>
      </w:r>
      <w:r w:rsidR="00447C51" w:rsidRPr="00B34D7D">
        <w:rPr>
          <w:rFonts w:eastAsiaTheme="minorHAnsi"/>
          <w:shd w:val="clear" w:color="auto" w:fill="FFFFFF"/>
          <w:lang w:eastAsia="en-US"/>
        </w:rPr>
        <w:t xml:space="preserve">породжує патерналізм і залежність людей від державної допомоги та не сприяє їх діловій активності. Все це змушує замислитись про майбутню глибоку кризу не тільки у соціальній сфері, але й у інших сферах національної економіки. </w:t>
      </w:r>
    </w:p>
    <w:p w:rsidR="00447C51" w:rsidRPr="00B34D7D" w:rsidRDefault="00447C51" w:rsidP="003F5007">
      <w:pPr>
        <w:ind w:firstLine="720"/>
        <w:jc w:val="both"/>
      </w:pPr>
      <w:r w:rsidRPr="00B34D7D">
        <w:t>Непідготовленість суспільства до нових викликів сучасності, відсутність чітких, скоординованих дій щодо збалансованого розвитку України, розгляд проблем економічного зростання без врахування концепцій національної безпеки призвело до розширення кола сегментів нестабільності, що не лише поглибило існуючі ризики, а й сприяло появі нових, які без перебільшення, створили реальні загрози соціальній безпеці (в т.ч. демографічній та продовольчій). Більшість індикаторів соціальної безпеки перевищили порогові значення, які були чинними до 2013 р і були більш наближеними до європейськиї стандартів. (табл.</w:t>
      </w:r>
      <w:r>
        <w:t>4</w:t>
      </w:r>
      <w:r w:rsidRPr="00B34D7D">
        <w:t>)</w:t>
      </w:r>
    </w:p>
    <w:p w:rsidR="00447C51" w:rsidRPr="00B34D7D" w:rsidRDefault="00447C51" w:rsidP="003F5007">
      <w:pPr>
        <w:ind w:firstLine="720"/>
        <w:jc w:val="right"/>
      </w:pPr>
      <w:r w:rsidRPr="00B34D7D">
        <w:t xml:space="preserve">Таблиця </w:t>
      </w:r>
      <w:r>
        <w:t>4</w:t>
      </w:r>
    </w:p>
    <w:p w:rsidR="00447C51" w:rsidRPr="00B34D7D" w:rsidRDefault="00447C51" w:rsidP="003F5007">
      <w:pPr>
        <w:ind w:firstLine="720"/>
        <w:jc w:val="center"/>
      </w:pPr>
      <w:r w:rsidRPr="00B34D7D">
        <w:t>Фактичні та порогові</w:t>
      </w:r>
      <w:r w:rsidR="009C7DBE">
        <w:t>*</w:t>
      </w:r>
      <w:r w:rsidRPr="00B34D7D">
        <w:t xml:space="preserve"> значення індикаторів соціальної безпеки</w:t>
      </w:r>
    </w:p>
    <w:p w:rsidR="00447C51" w:rsidRPr="00B34D7D" w:rsidRDefault="00447C51" w:rsidP="003F5007">
      <w:pPr>
        <w:ind w:firstLine="720"/>
        <w:jc w:val="center"/>
      </w:pPr>
      <w:r w:rsidRPr="00B34D7D">
        <w:t>у 2014 – 2015 рр.</w:t>
      </w:r>
      <w:r w:rsidR="009C7DBE">
        <w:t>**</w:t>
      </w:r>
      <w:r w:rsidRPr="00B34D7D">
        <w:t xml:space="preserve"> </w:t>
      </w:r>
    </w:p>
    <w:tbl>
      <w:tblPr>
        <w:tblStyle w:val="a9"/>
        <w:tblW w:w="0" w:type="auto"/>
        <w:tblInd w:w="250" w:type="dxa"/>
        <w:tblLook w:val="04A0" w:firstRow="1" w:lastRow="0" w:firstColumn="1" w:lastColumn="0" w:noHBand="0" w:noVBand="1"/>
      </w:tblPr>
      <w:tblGrid>
        <w:gridCol w:w="4056"/>
        <w:gridCol w:w="1963"/>
        <w:gridCol w:w="1130"/>
        <w:gridCol w:w="1096"/>
        <w:gridCol w:w="1252"/>
      </w:tblGrid>
      <w:tr w:rsidR="00447C51" w:rsidRPr="00B34D7D" w:rsidTr="00A73664">
        <w:tc>
          <w:tcPr>
            <w:tcW w:w="4056" w:type="dxa"/>
          </w:tcPr>
          <w:p w:rsidR="00447C51" w:rsidRPr="00B34D7D" w:rsidRDefault="00447C51" w:rsidP="00A73664">
            <w:pPr>
              <w:jc w:val="center"/>
            </w:pPr>
            <w:r w:rsidRPr="00B34D7D">
              <w:t>Індикатор</w:t>
            </w:r>
          </w:p>
        </w:tc>
        <w:tc>
          <w:tcPr>
            <w:tcW w:w="1963" w:type="dxa"/>
          </w:tcPr>
          <w:p w:rsidR="00447C51" w:rsidRPr="00B34D7D" w:rsidRDefault="00447C51" w:rsidP="00A73664">
            <w:pPr>
              <w:jc w:val="center"/>
            </w:pPr>
            <w:r w:rsidRPr="00B34D7D">
              <w:t>Порогове значення</w:t>
            </w:r>
          </w:p>
        </w:tc>
        <w:tc>
          <w:tcPr>
            <w:tcW w:w="1130" w:type="dxa"/>
          </w:tcPr>
          <w:p w:rsidR="00447C51" w:rsidRPr="00B34D7D" w:rsidRDefault="00447C51" w:rsidP="00A73664">
            <w:pPr>
              <w:jc w:val="center"/>
            </w:pPr>
            <w:r w:rsidRPr="00B34D7D">
              <w:t>2014</w:t>
            </w:r>
          </w:p>
        </w:tc>
        <w:tc>
          <w:tcPr>
            <w:tcW w:w="1096" w:type="dxa"/>
          </w:tcPr>
          <w:p w:rsidR="00447C51" w:rsidRPr="00B34D7D" w:rsidRDefault="00447C51" w:rsidP="00A73664">
            <w:pPr>
              <w:jc w:val="center"/>
            </w:pPr>
            <w:r w:rsidRPr="00B34D7D">
              <w:t>2015</w:t>
            </w:r>
          </w:p>
        </w:tc>
        <w:tc>
          <w:tcPr>
            <w:tcW w:w="1252" w:type="dxa"/>
          </w:tcPr>
          <w:p w:rsidR="00447C51" w:rsidRPr="00B34D7D" w:rsidRDefault="00447C51" w:rsidP="00A73664">
            <w:pPr>
              <w:jc w:val="center"/>
            </w:pPr>
            <w:r w:rsidRPr="00B34D7D">
              <w:t xml:space="preserve">2016 </w:t>
            </w:r>
          </w:p>
          <w:p w:rsidR="00447C51" w:rsidRPr="00B34D7D" w:rsidRDefault="00447C51" w:rsidP="00A73664">
            <w:pPr>
              <w:ind w:left="-113" w:right="-113"/>
              <w:jc w:val="center"/>
            </w:pPr>
            <w:r w:rsidRPr="00B34D7D">
              <w:t>1 півріччя</w:t>
            </w:r>
          </w:p>
        </w:tc>
      </w:tr>
      <w:tr w:rsidR="00447C51" w:rsidRPr="00B34D7D" w:rsidTr="00A73664">
        <w:tc>
          <w:tcPr>
            <w:tcW w:w="4056" w:type="dxa"/>
          </w:tcPr>
          <w:p w:rsidR="00447C51" w:rsidRPr="00B34D7D" w:rsidRDefault="00447C51" w:rsidP="00A73664">
            <w:r w:rsidRPr="00B34D7D">
              <w:t>Відношення мінімального розміру пенсії до прожиткового мінімуму, разів</w:t>
            </w:r>
          </w:p>
        </w:tc>
        <w:tc>
          <w:tcPr>
            <w:tcW w:w="1963" w:type="dxa"/>
          </w:tcPr>
          <w:p w:rsidR="00447C51" w:rsidRPr="00B34D7D" w:rsidRDefault="00447C51" w:rsidP="00A73664">
            <w:pPr>
              <w:jc w:val="center"/>
            </w:pPr>
            <w:r w:rsidRPr="00B34D7D">
              <w:t xml:space="preserve">Не менше </w:t>
            </w:r>
          </w:p>
          <w:p w:rsidR="00447C51" w:rsidRPr="00B34D7D" w:rsidRDefault="00447C51" w:rsidP="00A73664">
            <w:pPr>
              <w:jc w:val="center"/>
            </w:pPr>
            <w:r w:rsidRPr="00B34D7D">
              <w:t>1,5 - 2</w:t>
            </w:r>
          </w:p>
        </w:tc>
        <w:tc>
          <w:tcPr>
            <w:tcW w:w="1130" w:type="dxa"/>
          </w:tcPr>
          <w:p w:rsidR="00447C51" w:rsidRPr="00B34D7D" w:rsidRDefault="00447C51" w:rsidP="00A73664">
            <w:pPr>
              <w:jc w:val="center"/>
            </w:pPr>
            <w:r w:rsidRPr="00B34D7D">
              <w:t>1</w:t>
            </w:r>
          </w:p>
        </w:tc>
        <w:tc>
          <w:tcPr>
            <w:tcW w:w="1096" w:type="dxa"/>
          </w:tcPr>
          <w:p w:rsidR="00447C51" w:rsidRPr="00B34D7D" w:rsidRDefault="00447C51" w:rsidP="00A73664">
            <w:pPr>
              <w:jc w:val="center"/>
            </w:pPr>
            <w:r w:rsidRPr="00B34D7D">
              <w:t>1</w:t>
            </w:r>
          </w:p>
        </w:tc>
        <w:tc>
          <w:tcPr>
            <w:tcW w:w="1252" w:type="dxa"/>
          </w:tcPr>
          <w:p w:rsidR="00447C51" w:rsidRPr="00B34D7D" w:rsidRDefault="00447C51" w:rsidP="00A73664">
            <w:pPr>
              <w:jc w:val="center"/>
            </w:pPr>
            <w:r w:rsidRPr="00B34D7D">
              <w:t>1</w:t>
            </w:r>
          </w:p>
        </w:tc>
      </w:tr>
      <w:tr w:rsidR="00447C51" w:rsidRPr="00B34D7D" w:rsidTr="00A73664">
        <w:tc>
          <w:tcPr>
            <w:tcW w:w="4056" w:type="dxa"/>
          </w:tcPr>
          <w:p w:rsidR="00447C51" w:rsidRPr="00B34D7D" w:rsidRDefault="00447C51" w:rsidP="00A73664">
            <w:r w:rsidRPr="00B34D7D">
              <w:t>Відношення індексу сукупних ресурсів домогосподарств до індексу споживчих цін, разів</w:t>
            </w:r>
          </w:p>
        </w:tc>
        <w:tc>
          <w:tcPr>
            <w:tcW w:w="1963" w:type="dxa"/>
          </w:tcPr>
          <w:p w:rsidR="00447C51" w:rsidRPr="00B34D7D" w:rsidRDefault="00447C51" w:rsidP="00A73664">
            <w:pPr>
              <w:jc w:val="center"/>
            </w:pPr>
            <w:r w:rsidRPr="00B34D7D">
              <w:t>Не менше 1</w:t>
            </w:r>
          </w:p>
        </w:tc>
        <w:tc>
          <w:tcPr>
            <w:tcW w:w="1130" w:type="dxa"/>
          </w:tcPr>
          <w:p w:rsidR="00447C51" w:rsidRPr="00B34D7D" w:rsidRDefault="00447C51" w:rsidP="00A73664">
            <w:pPr>
              <w:jc w:val="center"/>
            </w:pPr>
            <w:r w:rsidRPr="00B34D7D">
              <w:t>0,91</w:t>
            </w:r>
          </w:p>
        </w:tc>
        <w:tc>
          <w:tcPr>
            <w:tcW w:w="1096" w:type="dxa"/>
          </w:tcPr>
          <w:p w:rsidR="00447C51" w:rsidRPr="00B34D7D" w:rsidRDefault="00447C51" w:rsidP="00A73664">
            <w:pPr>
              <w:jc w:val="center"/>
            </w:pPr>
            <w:r w:rsidRPr="00B34D7D">
              <w:t>0,77</w:t>
            </w:r>
          </w:p>
        </w:tc>
        <w:tc>
          <w:tcPr>
            <w:tcW w:w="1252" w:type="dxa"/>
          </w:tcPr>
          <w:p w:rsidR="00447C51" w:rsidRPr="00B34D7D" w:rsidRDefault="00447C51" w:rsidP="00A73664">
            <w:pPr>
              <w:jc w:val="center"/>
            </w:pPr>
            <w:r>
              <w:t>....</w:t>
            </w:r>
          </w:p>
        </w:tc>
      </w:tr>
      <w:tr w:rsidR="00447C51" w:rsidRPr="00B34D7D" w:rsidTr="00A73664">
        <w:tc>
          <w:tcPr>
            <w:tcW w:w="4056" w:type="dxa"/>
          </w:tcPr>
          <w:p w:rsidR="00447C51" w:rsidRPr="00B34D7D" w:rsidRDefault="00447C51" w:rsidP="00A73664">
            <w:r w:rsidRPr="00B34D7D">
              <w:t>Частка витрат на харчування (прод. товари і харчування поза домом) у загальному обсязі витрат</w:t>
            </w:r>
          </w:p>
        </w:tc>
        <w:tc>
          <w:tcPr>
            <w:tcW w:w="1963" w:type="dxa"/>
          </w:tcPr>
          <w:p w:rsidR="00447C51" w:rsidRPr="00B34D7D" w:rsidRDefault="00447C51" w:rsidP="00A73664">
            <w:pPr>
              <w:jc w:val="center"/>
            </w:pPr>
            <w:r w:rsidRPr="00B34D7D">
              <w:t>Не більше 50 %</w:t>
            </w:r>
          </w:p>
        </w:tc>
        <w:tc>
          <w:tcPr>
            <w:tcW w:w="1130" w:type="dxa"/>
          </w:tcPr>
          <w:p w:rsidR="00447C51" w:rsidRPr="00B34D7D" w:rsidRDefault="00447C51" w:rsidP="00A73664">
            <w:pPr>
              <w:jc w:val="center"/>
            </w:pPr>
            <w:r w:rsidRPr="00B34D7D">
              <w:t>53,7</w:t>
            </w:r>
          </w:p>
        </w:tc>
        <w:tc>
          <w:tcPr>
            <w:tcW w:w="1096" w:type="dxa"/>
          </w:tcPr>
          <w:p w:rsidR="00447C51" w:rsidRPr="00B34D7D" w:rsidRDefault="00447C51" w:rsidP="00A73664">
            <w:pPr>
              <w:jc w:val="center"/>
            </w:pPr>
            <w:r w:rsidRPr="00B34D7D">
              <w:t>54,6</w:t>
            </w:r>
          </w:p>
        </w:tc>
        <w:tc>
          <w:tcPr>
            <w:tcW w:w="1252" w:type="dxa"/>
          </w:tcPr>
          <w:p w:rsidR="00447C51" w:rsidRPr="00B34D7D" w:rsidRDefault="00447C51" w:rsidP="00A73664">
            <w:pPr>
              <w:jc w:val="center"/>
            </w:pPr>
            <w:r w:rsidRPr="00B34D7D">
              <w:t>51,7*</w:t>
            </w:r>
          </w:p>
        </w:tc>
      </w:tr>
      <w:tr w:rsidR="00447C51" w:rsidRPr="00B34D7D" w:rsidTr="00A73664">
        <w:tc>
          <w:tcPr>
            <w:tcW w:w="4056" w:type="dxa"/>
          </w:tcPr>
          <w:p w:rsidR="00447C51" w:rsidRPr="00B34D7D" w:rsidRDefault="00447C51" w:rsidP="00A73664">
            <w:r w:rsidRPr="00B34D7D">
              <w:t>Рівень безробіття (за методологією МОП), у віці 15-70 років/працездатного віку</w:t>
            </w:r>
          </w:p>
        </w:tc>
        <w:tc>
          <w:tcPr>
            <w:tcW w:w="1963" w:type="dxa"/>
          </w:tcPr>
          <w:p w:rsidR="00447C51" w:rsidRPr="00B34D7D" w:rsidRDefault="00447C51" w:rsidP="00A73664">
            <w:pPr>
              <w:jc w:val="center"/>
            </w:pPr>
            <w:r w:rsidRPr="00B34D7D">
              <w:t>Не більше 10%</w:t>
            </w:r>
          </w:p>
        </w:tc>
        <w:tc>
          <w:tcPr>
            <w:tcW w:w="1130" w:type="dxa"/>
          </w:tcPr>
          <w:p w:rsidR="00447C51" w:rsidRPr="00B34D7D" w:rsidRDefault="00447C51" w:rsidP="00A73664">
            <w:pPr>
              <w:jc w:val="center"/>
            </w:pPr>
            <w:r w:rsidRPr="00B34D7D">
              <w:t>9,3/9,7</w:t>
            </w:r>
          </w:p>
        </w:tc>
        <w:tc>
          <w:tcPr>
            <w:tcW w:w="1096" w:type="dxa"/>
          </w:tcPr>
          <w:p w:rsidR="00447C51" w:rsidRPr="00B34D7D" w:rsidRDefault="00447C51" w:rsidP="00A73664">
            <w:pPr>
              <w:jc w:val="center"/>
            </w:pPr>
            <w:r w:rsidRPr="00B34D7D">
              <w:t>9,1/9,5</w:t>
            </w:r>
          </w:p>
        </w:tc>
        <w:tc>
          <w:tcPr>
            <w:tcW w:w="1252" w:type="dxa"/>
          </w:tcPr>
          <w:p w:rsidR="00447C51" w:rsidRPr="00B34D7D" w:rsidRDefault="00447C51" w:rsidP="00A73664">
            <w:pPr>
              <w:jc w:val="center"/>
            </w:pPr>
            <w:r w:rsidRPr="00B34D7D">
              <w:t>9,4/9,8</w:t>
            </w:r>
          </w:p>
        </w:tc>
      </w:tr>
      <w:tr w:rsidR="00447C51" w:rsidRPr="00B34D7D" w:rsidTr="00A73664">
        <w:tc>
          <w:tcPr>
            <w:tcW w:w="4056" w:type="dxa"/>
          </w:tcPr>
          <w:p w:rsidR="00447C51" w:rsidRPr="00B34D7D" w:rsidRDefault="00447C51" w:rsidP="00A73664">
            <w:r w:rsidRPr="00B34D7D">
              <w:t>Наявність житлового фонду на одну особу, кв.м.</w:t>
            </w:r>
          </w:p>
        </w:tc>
        <w:tc>
          <w:tcPr>
            <w:tcW w:w="1963" w:type="dxa"/>
          </w:tcPr>
          <w:p w:rsidR="00447C51" w:rsidRPr="00B34D7D" w:rsidRDefault="00447C51" w:rsidP="00A73664">
            <w:pPr>
              <w:jc w:val="center"/>
            </w:pPr>
            <w:r w:rsidRPr="00B34D7D">
              <w:t>Не менше 25 кв.м.</w:t>
            </w:r>
          </w:p>
        </w:tc>
        <w:tc>
          <w:tcPr>
            <w:tcW w:w="1130" w:type="dxa"/>
          </w:tcPr>
          <w:p w:rsidR="00447C51" w:rsidRPr="00B34D7D" w:rsidRDefault="00447C51" w:rsidP="00A73664">
            <w:pPr>
              <w:jc w:val="center"/>
            </w:pPr>
            <w:r w:rsidRPr="00B34D7D">
              <w:t>23,1</w:t>
            </w:r>
          </w:p>
        </w:tc>
        <w:tc>
          <w:tcPr>
            <w:tcW w:w="1096" w:type="dxa"/>
          </w:tcPr>
          <w:p w:rsidR="00447C51" w:rsidRPr="00B34D7D" w:rsidRDefault="00447C51" w:rsidP="00A73664">
            <w:pPr>
              <w:jc w:val="center"/>
            </w:pPr>
            <w:r w:rsidRPr="00B34D7D">
              <w:t>22,5</w:t>
            </w:r>
          </w:p>
        </w:tc>
        <w:tc>
          <w:tcPr>
            <w:tcW w:w="1252" w:type="dxa"/>
          </w:tcPr>
          <w:p w:rsidR="00447C51" w:rsidRPr="00B34D7D" w:rsidRDefault="00447C51" w:rsidP="00A73664">
            <w:pPr>
              <w:jc w:val="center"/>
            </w:pPr>
            <w:r w:rsidRPr="00B34D7D">
              <w:t>22,7</w:t>
            </w:r>
          </w:p>
        </w:tc>
      </w:tr>
      <w:tr w:rsidR="00447C51" w:rsidRPr="00B34D7D" w:rsidTr="00A73664">
        <w:tc>
          <w:tcPr>
            <w:tcW w:w="4056" w:type="dxa"/>
          </w:tcPr>
          <w:p w:rsidR="00447C51" w:rsidRPr="00B34D7D" w:rsidRDefault="00447C51" w:rsidP="00A73664">
            <w:r w:rsidRPr="00B34D7D">
              <w:t>Кількість уперше зареєстрованих випадків захворювань на 100 осіб</w:t>
            </w:r>
          </w:p>
        </w:tc>
        <w:tc>
          <w:tcPr>
            <w:tcW w:w="1963" w:type="dxa"/>
          </w:tcPr>
          <w:p w:rsidR="00447C51" w:rsidRPr="00B34D7D" w:rsidRDefault="00447C51" w:rsidP="00A73664">
            <w:pPr>
              <w:jc w:val="center"/>
            </w:pPr>
            <w:r w:rsidRPr="00B34D7D">
              <w:t>Не більше 60</w:t>
            </w:r>
          </w:p>
        </w:tc>
        <w:tc>
          <w:tcPr>
            <w:tcW w:w="1130" w:type="dxa"/>
          </w:tcPr>
          <w:p w:rsidR="00447C51" w:rsidRPr="00B34D7D" w:rsidRDefault="00447C51" w:rsidP="00A73664">
            <w:pPr>
              <w:jc w:val="center"/>
            </w:pPr>
            <w:r w:rsidRPr="00B34D7D">
              <w:t>62,7</w:t>
            </w:r>
          </w:p>
        </w:tc>
        <w:tc>
          <w:tcPr>
            <w:tcW w:w="1096" w:type="dxa"/>
          </w:tcPr>
          <w:p w:rsidR="00447C51" w:rsidRPr="00B34D7D" w:rsidRDefault="00447C51" w:rsidP="00A73664">
            <w:pPr>
              <w:jc w:val="center"/>
            </w:pPr>
            <w:r w:rsidRPr="00B34D7D">
              <w:t>62,3</w:t>
            </w:r>
          </w:p>
        </w:tc>
        <w:tc>
          <w:tcPr>
            <w:tcW w:w="1252" w:type="dxa"/>
          </w:tcPr>
          <w:p w:rsidR="00447C51" w:rsidRPr="00B34D7D" w:rsidRDefault="00447C51" w:rsidP="00A73664">
            <w:pPr>
              <w:jc w:val="center"/>
            </w:pPr>
          </w:p>
        </w:tc>
      </w:tr>
      <w:tr w:rsidR="00447C51" w:rsidRPr="00B34D7D" w:rsidTr="00A73664">
        <w:tc>
          <w:tcPr>
            <w:tcW w:w="4056" w:type="dxa"/>
          </w:tcPr>
          <w:p w:rsidR="00447C51" w:rsidRPr="00B34D7D" w:rsidRDefault="00447C51" w:rsidP="00A73664">
            <w:r w:rsidRPr="00B34D7D">
              <w:t>Обсяг видатків зведеного бюджету на охорону здоров</w:t>
            </w:r>
            <w:r w:rsidRPr="00B34D7D">
              <w:rPr>
                <w:lang w:val="ru-RU"/>
              </w:rPr>
              <w:t>’</w:t>
            </w:r>
            <w:r w:rsidRPr="00B34D7D">
              <w:t>я, у % до ВВП</w:t>
            </w:r>
          </w:p>
        </w:tc>
        <w:tc>
          <w:tcPr>
            <w:tcW w:w="1963" w:type="dxa"/>
          </w:tcPr>
          <w:p w:rsidR="00447C51" w:rsidRPr="00B34D7D" w:rsidRDefault="00447C51" w:rsidP="00A73664">
            <w:pPr>
              <w:jc w:val="center"/>
            </w:pPr>
            <w:r w:rsidRPr="00B34D7D">
              <w:t>Не менше 4</w:t>
            </w:r>
          </w:p>
        </w:tc>
        <w:tc>
          <w:tcPr>
            <w:tcW w:w="1130" w:type="dxa"/>
          </w:tcPr>
          <w:p w:rsidR="00447C51" w:rsidRPr="00B34D7D" w:rsidRDefault="00447C51" w:rsidP="00A73664">
            <w:pPr>
              <w:jc w:val="center"/>
            </w:pPr>
            <w:r w:rsidRPr="00B34D7D">
              <w:t>3,7</w:t>
            </w:r>
          </w:p>
        </w:tc>
        <w:tc>
          <w:tcPr>
            <w:tcW w:w="1096" w:type="dxa"/>
          </w:tcPr>
          <w:p w:rsidR="00447C51" w:rsidRPr="00B34D7D" w:rsidRDefault="00447C51" w:rsidP="00A73664">
            <w:pPr>
              <w:jc w:val="center"/>
            </w:pPr>
            <w:r w:rsidRPr="00B34D7D">
              <w:t>3,6</w:t>
            </w:r>
          </w:p>
        </w:tc>
        <w:tc>
          <w:tcPr>
            <w:tcW w:w="1252" w:type="dxa"/>
          </w:tcPr>
          <w:p w:rsidR="00447C51" w:rsidRPr="00B34D7D" w:rsidRDefault="00447C51" w:rsidP="00A73664">
            <w:pPr>
              <w:jc w:val="center"/>
            </w:pPr>
            <w:r w:rsidRPr="00B34D7D">
              <w:t>2,9</w:t>
            </w:r>
          </w:p>
        </w:tc>
      </w:tr>
      <w:tr w:rsidR="00447C51" w:rsidRPr="00B34D7D" w:rsidTr="00A73664">
        <w:tc>
          <w:tcPr>
            <w:tcW w:w="4056" w:type="dxa"/>
          </w:tcPr>
          <w:p w:rsidR="00447C51" w:rsidRPr="00B34D7D" w:rsidRDefault="00447C51" w:rsidP="00A73664">
            <w:r w:rsidRPr="00B34D7D">
              <w:t>Обсяг видатків зведеного бюджету на освіту, у % до ВВП</w:t>
            </w:r>
          </w:p>
        </w:tc>
        <w:tc>
          <w:tcPr>
            <w:tcW w:w="1963" w:type="dxa"/>
          </w:tcPr>
          <w:p w:rsidR="00447C51" w:rsidRPr="00B34D7D" w:rsidRDefault="00447C51" w:rsidP="00A73664">
            <w:pPr>
              <w:jc w:val="center"/>
            </w:pPr>
            <w:r w:rsidRPr="00B34D7D">
              <w:t>Не менше 8,3</w:t>
            </w:r>
          </w:p>
        </w:tc>
        <w:tc>
          <w:tcPr>
            <w:tcW w:w="1130" w:type="dxa"/>
          </w:tcPr>
          <w:p w:rsidR="00447C51" w:rsidRPr="00B34D7D" w:rsidRDefault="00447C51" w:rsidP="00A73664">
            <w:pPr>
              <w:jc w:val="center"/>
            </w:pPr>
            <w:r w:rsidRPr="00B34D7D">
              <w:t>6,4</w:t>
            </w:r>
          </w:p>
        </w:tc>
        <w:tc>
          <w:tcPr>
            <w:tcW w:w="1096" w:type="dxa"/>
          </w:tcPr>
          <w:p w:rsidR="00447C51" w:rsidRPr="00B34D7D" w:rsidRDefault="00447C51" w:rsidP="00A73664">
            <w:pPr>
              <w:jc w:val="center"/>
            </w:pPr>
            <w:r w:rsidRPr="00B34D7D">
              <w:t>5,8</w:t>
            </w:r>
          </w:p>
        </w:tc>
        <w:tc>
          <w:tcPr>
            <w:tcW w:w="1252" w:type="dxa"/>
          </w:tcPr>
          <w:p w:rsidR="00447C51" w:rsidRPr="00B34D7D" w:rsidRDefault="00447C51" w:rsidP="00A73664">
            <w:pPr>
              <w:jc w:val="center"/>
            </w:pPr>
            <w:r w:rsidRPr="00B34D7D">
              <w:t>6,1</w:t>
            </w:r>
          </w:p>
        </w:tc>
      </w:tr>
    </w:tbl>
    <w:p w:rsidR="004C25E3" w:rsidRDefault="009C7DBE" w:rsidP="009C7DBE">
      <w:pPr>
        <w:ind w:firstLine="720"/>
        <w:jc w:val="both"/>
        <w:rPr>
          <w:sz w:val="20"/>
          <w:szCs w:val="20"/>
        </w:rPr>
      </w:pPr>
      <w:r>
        <w:rPr>
          <w:sz w:val="20"/>
          <w:szCs w:val="20"/>
        </w:rPr>
        <w:t>*</w:t>
      </w:r>
      <w:r w:rsidRPr="009C7DBE">
        <w:t xml:space="preserve"> </w:t>
      </w:r>
      <w:r w:rsidRPr="009C7DBE">
        <w:rPr>
          <w:sz w:val="20"/>
          <w:szCs w:val="20"/>
        </w:rPr>
        <w:t xml:space="preserve">відповідно до наказу </w:t>
      </w:r>
      <w:r w:rsidR="004C25E3" w:rsidRPr="004C25E3">
        <w:rPr>
          <w:sz w:val="20"/>
          <w:szCs w:val="20"/>
        </w:rPr>
        <w:t>наказом Мінекономіки України № 60 від 2.03.2007 р.</w:t>
      </w:r>
    </w:p>
    <w:p w:rsidR="00447C51" w:rsidRPr="009C7DBE" w:rsidRDefault="00447C51" w:rsidP="009C7DBE">
      <w:pPr>
        <w:ind w:firstLine="720"/>
        <w:jc w:val="both"/>
        <w:rPr>
          <w:sz w:val="20"/>
          <w:szCs w:val="20"/>
          <w:lang w:val="ru-RU"/>
        </w:rPr>
      </w:pPr>
      <w:r w:rsidRPr="009C7DBE">
        <w:rPr>
          <w:sz w:val="20"/>
          <w:szCs w:val="20"/>
        </w:rPr>
        <w:t>*</w:t>
      </w:r>
      <w:r w:rsidR="009C7DBE">
        <w:rPr>
          <w:sz w:val="20"/>
          <w:szCs w:val="20"/>
        </w:rPr>
        <w:t>*</w:t>
      </w:r>
      <w:r w:rsidRPr="009C7DBE">
        <w:rPr>
          <w:sz w:val="20"/>
          <w:szCs w:val="20"/>
        </w:rPr>
        <w:t>ск</w:t>
      </w:r>
      <w:r w:rsidR="009C7DBE">
        <w:rPr>
          <w:sz w:val="20"/>
          <w:szCs w:val="20"/>
        </w:rPr>
        <w:t>л</w:t>
      </w:r>
      <w:r w:rsidRPr="009C7DBE">
        <w:rPr>
          <w:sz w:val="20"/>
          <w:szCs w:val="20"/>
        </w:rPr>
        <w:t xml:space="preserve">адено на основі </w:t>
      </w:r>
      <w:r w:rsidR="00807094" w:rsidRPr="009C7DBE">
        <w:rPr>
          <w:sz w:val="20"/>
          <w:szCs w:val="20"/>
        </w:rPr>
        <w:t xml:space="preserve">даних Державного комітету статистики [www.ukrstat.gov.ua] та </w:t>
      </w:r>
      <w:r w:rsidR="009C7DBE" w:rsidRPr="009C7DBE">
        <w:rPr>
          <w:sz w:val="20"/>
          <w:szCs w:val="20"/>
        </w:rPr>
        <w:t>джерела</w:t>
      </w:r>
      <w:r w:rsidR="009C7DBE" w:rsidRPr="009C7DBE">
        <w:rPr>
          <w:sz w:val="20"/>
          <w:szCs w:val="20"/>
          <w:lang w:val="ru-RU"/>
        </w:rPr>
        <w:t xml:space="preserve"> [</w:t>
      </w:r>
      <w:r w:rsidR="00585DB2" w:rsidRPr="00585DB2">
        <w:rPr>
          <w:sz w:val="20"/>
          <w:szCs w:val="20"/>
          <w:lang w:val="ru-RU"/>
        </w:rPr>
        <w:t>5</w:t>
      </w:r>
      <w:r w:rsidR="009C7DBE" w:rsidRPr="009C7DBE">
        <w:rPr>
          <w:sz w:val="20"/>
          <w:szCs w:val="20"/>
          <w:lang w:val="ru-RU"/>
        </w:rPr>
        <w:t>]</w:t>
      </w:r>
    </w:p>
    <w:p w:rsidR="00447C51" w:rsidRDefault="00447C51" w:rsidP="00447C51">
      <w:pPr>
        <w:spacing w:line="360" w:lineRule="auto"/>
        <w:ind w:firstLine="720"/>
        <w:jc w:val="both"/>
      </w:pPr>
    </w:p>
    <w:p w:rsidR="00447C51" w:rsidRPr="00E172E4" w:rsidRDefault="00447C51" w:rsidP="003F5007">
      <w:pPr>
        <w:ind w:firstLine="720"/>
        <w:jc w:val="both"/>
        <w:rPr>
          <w:lang w:val="ru-RU"/>
        </w:rPr>
      </w:pPr>
      <w:r w:rsidRPr="00B34D7D">
        <w:t>У 2013 р. замість прийняття відповідних заходів для покращення значень індикаторів, наведених у табл.</w:t>
      </w:r>
      <w:r w:rsidR="00307BFD">
        <w:t>4</w:t>
      </w:r>
      <w:r w:rsidRPr="00B34D7D">
        <w:t>, Міністерство економічного розвитку і торгівлі видало наказ № 1277 «Про затвердження методичних рекомендацій щодо розрахунку рівня економічної безпеки України», відповідно до положень  якого було знижено нормативні критичні значення індикаторів соціальної безпеки. Зокрема, порогове значення індикатора «відношення середньої заробітної плати до прожиткового мінімуму» було «не менше 3 разів». У новому наказі № 1277 критичне значення зазначеного індикатора затверджено «1,5 рази», а оптимальним вважається «3 рази». Таким чином, порогове значення індикатора перетворилося на оптимальне. Водночас значення окремих індикаторів у 2015 р. перевищили нормативні показники</w:t>
      </w:r>
      <w:r w:rsidR="004C25E3" w:rsidRPr="004C25E3">
        <w:rPr>
          <w:lang w:val="ru-RU"/>
        </w:rPr>
        <w:t xml:space="preserve"> [</w:t>
      </w:r>
      <w:r w:rsidR="00585DB2" w:rsidRPr="00585DB2">
        <w:rPr>
          <w:lang w:val="ru-RU"/>
        </w:rPr>
        <w:t>6</w:t>
      </w:r>
      <w:r w:rsidR="004C25E3" w:rsidRPr="004C25E3">
        <w:rPr>
          <w:lang w:val="ru-RU"/>
        </w:rPr>
        <w:t>]</w:t>
      </w:r>
      <w:r w:rsidRPr="00B34D7D">
        <w:t xml:space="preserve"> небезпечного та критичного рівня соціальної безпеки (табл.</w:t>
      </w:r>
      <w:r>
        <w:t>5</w:t>
      </w:r>
      <w:r w:rsidRPr="00B34D7D">
        <w:t xml:space="preserve">). </w:t>
      </w:r>
    </w:p>
    <w:p w:rsidR="00585DB2" w:rsidRPr="00585DB2" w:rsidRDefault="00585DB2" w:rsidP="00585DB2">
      <w:pPr>
        <w:ind w:firstLine="720"/>
        <w:jc w:val="both"/>
        <w:rPr>
          <w:lang w:val="ru-RU"/>
        </w:rPr>
      </w:pPr>
      <w:proofErr w:type="spellStart"/>
      <w:r w:rsidRPr="00585DB2">
        <w:rPr>
          <w:lang w:val="ru-RU"/>
        </w:rPr>
        <w:t>Зокрема</w:t>
      </w:r>
      <w:proofErr w:type="spellEnd"/>
      <w:r w:rsidRPr="00585DB2">
        <w:rPr>
          <w:lang w:val="ru-RU"/>
        </w:rPr>
        <w:t xml:space="preserve">, </w:t>
      </w:r>
      <w:proofErr w:type="spellStart"/>
      <w:r w:rsidRPr="00585DB2">
        <w:rPr>
          <w:lang w:val="ru-RU"/>
        </w:rPr>
        <w:t>індикатори</w:t>
      </w:r>
      <w:proofErr w:type="spellEnd"/>
      <w:r w:rsidRPr="00585DB2">
        <w:rPr>
          <w:lang w:val="ru-RU"/>
        </w:rPr>
        <w:t xml:space="preserve"> «</w:t>
      </w:r>
      <w:proofErr w:type="spellStart"/>
      <w:r w:rsidRPr="00585DB2">
        <w:rPr>
          <w:lang w:val="ru-RU"/>
        </w:rPr>
        <w:t>чисельність</w:t>
      </w:r>
      <w:proofErr w:type="spellEnd"/>
      <w:r w:rsidRPr="00585DB2">
        <w:rPr>
          <w:lang w:val="ru-RU"/>
        </w:rPr>
        <w:t xml:space="preserve"> </w:t>
      </w:r>
      <w:proofErr w:type="spellStart"/>
      <w:r w:rsidRPr="00585DB2">
        <w:rPr>
          <w:lang w:val="ru-RU"/>
        </w:rPr>
        <w:t>хворих</w:t>
      </w:r>
      <w:proofErr w:type="spellEnd"/>
      <w:r w:rsidRPr="00585DB2">
        <w:rPr>
          <w:lang w:val="ru-RU"/>
        </w:rPr>
        <w:t xml:space="preserve"> на </w:t>
      </w:r>
      <w:proofErr w:type="spellStart"/>
      <w:r w:rsidRPr="00585DB2">
        <w:rPr>
          <w:lang w:val="ru-RU"/>
        </w:rPr>
        <w:t>активний</w:t>
      </w:r>
      <w:proofErr w:type="spellEnd"/>
      <w:r w:rsidRPr="00585DB2">
        <w:rPr>
          <w:lang w:val="ru-RU"/>
        </w:rPr>
        <w:t xml:space="preserve"> </w:t>
      </w:r>
      <w:proofErr w:type="spellStart"/>
      <w:r w:rsidRPr="00585DB2">
        <w:rPr>
          <w:lang w:val="ru-RU"/>
        </w:rPr>
        <w:t>туберкульоз</w:t>
      </w:r>
      <w:proofErr w:type="spellEnd"/>
      <w:r w:rsidRPr="00585DB2">
        <w:rPr>
          <w:lang w:val="ru-RU"/>
        </w:rPr>
        <w:t xml:space="preserve"> </w:t>
      </w:r>
      <w:proofErr w:type="spellStart"/>
      <w:r w:rsidRPr="00585DB2">
        <w:rPr>
          <w:lang w:val="ru-RU"/>
        </w:rPr>
        <w:t>із</w:t>
      </w:r>
      <w:proofErr w:type="spellEnd"/>
      <w:r w:rsidRPr="00585DB2">
        <w:rPr>
          <w:lang w:val="ru-RU"/>
        </w:rPr>
        <w:t xml:space="preserve"> </w:t>
      </w:r>
      <w:proofErr w:type="spellStart"/>
      <w:r w:rsidRPr="00585DB2">
        <w:rPr>
          <w:lang w:val="ru-RU"/>
        </w:rPr>
        <w:t>діагнозом</w:t>
      </w:r>
      <w:proofErr w:type="spellEnd"/>
      <w:r w:rsidRPr="00585DB2">
        <w:rPr>
          <w:lang w:val="ru-RU"/>
        </w:rPr>
        <w:t xml:space="preserve">, </w:t>
      </w:r>
      <w:proofErr w:type="spellStart"/>
      <w:r w:rsidRPr="00585DB2">
        <w:rPr>
          <w:lang w:val="ru-RU"/>
        </w:rPr>
        <w:t>що</w:t>
      </w:r>
      <w:proofErr w:type="spellEnd"/>
      <w:r w:rsidRPr="00585DB2">
        <w:rPr>
          <w:lang w:val="ru-RU"/>
        </w:rPr>
        <w:t xml:space="preserve"> </w:t>
      </w:r>
      <w:proofErr w:type="spellStart"/>
      <w:r w:rsidRPr="00585DB2">
        <w:rPr>
          <w:lang w:val="ru-RU"/>
        </w:rPr>
        <w:t>встановлений</w:t>
      </w:r>
      <w:proofErr w:type="spellEnd"/>
      <w:r w:rsidRPr="00585DB2">
        <w:rPr>
          <w:lang w:val="ru-RU"/>
        </w:rPr>
        <w:t xml:space="preserve"> </w:t>
      </w:r>
      <w:proofErr w:type="spellStart"/>
      <w:r w:rsidRPr="00585DB2">
        <w:rPr>
          <w:lang w:val="ru-RU"/>
        </w:rPr>
        <w:t>уперше</w:t>
      </w:r>
      <w:proofErr w:type="spellEnd"/>
      <w:r w:rsidRPr="00585DB2">
        <w:rPr>
          <w:lang w:val="ru-RU"/>
        </w:rPr>
        <w:t xml:space="preserve"> в </w:t>
      </w:r>
      <w:proofErr w:type="spellStart"/>
      <w:r w:rsidRPr="00585DB2">
        <w:rPr>
          <w:lang w:val="ru-RU"/>
        </w:rPr>
        <w:t>житті</w:t>
      </w:r>
      <w:proofErr w:type="spellEnd"/>
      <w:r w:rsidRPr="00585DB2">
        <w:rPr>
          <w:lang w:val="ru-RU"/>
        </w:rPr>
        <w:t>», «</w:t>
      </w:r>
      <w:proofErr w:type="spellStart"/>
      <w:r w:rsidRPr="00585DB2">
        <w:rPr>
          <w:lang w:val="ru-RU"/>
        </w:rPr>
        <w:t>обсяг</w:t>
      </w:r>
      <w:proofErr w:type="spellEnd"/>
      <w:r w:rsidRPr="00585DB2">
        <w:rPr>
          <w:lang w:val="ru-RU"/>
        </w:rPr>
        <w:t xml:space="preserve"> </w:t>
      </w:r>
      <w:proofErr w:type="spellStart"/>
      <w:r w:rsidRPr="00585DB2">
        <w:rPr>
          <w:lang w:val="ru-RU"/>
        </w:rPr>
        <w:t>видатків</w:t>
      </w:r>
      <w:proofErr w:type="spellEnd"/>
      <w:r w:rsidRPr="00585DB2">
        <w:rPr>
          <w:lang w:val="ru-RU"/>
        </w:rPr>
        <w:t xml:space="preserve"> </w:t>
      </w:r>
      <w:proofErr w:type="spellStart"/>
      <w:r w:rsidRPr="00585DB2">
        <w:rPr>
          <w:lang w:val="ru-RU"/>
        </w:rPr>
        <w:t>зведеного</w:t>
      </w:r>
      <w:proofErr w:type="spellEnd"/>
      <w:r w:rsidRPr="00585DB2">
        <w:rPr>
          <w:lang w:val="ru-RU"/>
        </w:rPr>
        <w:t xml:space="preserve"> бюджету на </w:t>
      </w:r>
      <w:proofErr w:type="spellStart"/>
      <w:r w:rsidRPr="00585DB2">
        <w:rPr>
          <w:lang w:val="ru-RU"/>
        </w:rPr>
        <w:t>охорону</w:t>
      </w:r>
      <w:proofErr w:type="spellEnd"/>
      <w:r w:rsidRPr="00585DB2">
        <w:rPr>
          <w:lang w:val="ru-RU"/>
        </w:rPr>
        <w:t xml:space="preserve"> </w:t>
      </w:r>
      <w:proofErr w:type="spellStart"/>
      <w:r w:rsidRPr="00585DB2">
        <w:rPr>
          <w:lang w:val="ru-RU"/>
        </w:rPr>
        <w:t>здоров'я</w:t>
      </w:r>
      <w:proofErr w:type="spellEnd"/>
      <w:r w:rsidRPr="00585DB2">
        <w:rPr>
          <w:lang w:val="ru-RU"/>
        </w:rPr>
        <w:t xml:space="preserve"> у </w:t>
      </w:r>
      <w:proofErr w:type="spellStart"/>
      <w:r w:rsidRPr="00585DB2">
        <w:rPr>
          <w:lang w:val="ru-RU"/>
        </w:rPr>
        <w:t>відсотках</w:t>
      </w:r>
      <w:proofErr w:type="spellEnd"/>
      <w:r w:rsidRPr="00585DB2">
        <w:rPr>
          <w:lang w:val="ru-RU"/>
        </w:rPr>
        <w:t xml:space="preserve"> до ВВП»  у 2014 – 2015 </w:t>
      </w:r>
      <w:proofErr w:type="spellStart"/>
      <w:r w:rsidRPr="00585DB2">
        <w:rPr>
          <w:lang w:val="ru-RU"/>
        </w:rPr>
        <w:t>рр</w:t>
      </w:r>
      <w:proofErr w:type="spellEnd"/>
      <w:r w:rsidRPr="00585DB2">
        <w:rPr>
          <w:lang w:val="ru-RU"/>
        </w:rPr>
        <w:t xml:space="preserve">. </w:t>
      </w:r>
      <w:proofErr w:type="spellStart"/>
      <w:r w:rsidRPr="00585DB2">
        <w:rPr>
          <w:lang w:val="ru-RU"/>
        </w:rPr>
        <w:t>сягнули</w:t>
      </w:r>
      <w:proofErr w:type="spellEnd"/>
      <w:r w:rsidRPr="00585DB2">
        <w:rPr>
          <w:lang w:val="ru-RU"/>
        </w:rPr>
        <w:t xml:space="preserve"> практично критичного </w:t>
      </w:r>
      <w:proofErr w:type="spellStart"/>
      <w:r w:rsidRPr="00585DB2">
        <w:rPr>
          <w:lang w:val="ru-RU"/>
        </w:rPr>
        <w:t>рівня</w:t>
      </w:r>
      <w:proofErr w:type="spellEnd"/>
      <w:r w:rsidRPr="00585DB2">
        <w:rPr>
          <w:lang w:val="ru-RU"/>
        </w:rPr>
        <w:t xml:space="preserve">, а </w:t>
      </w:r>
      <w:proofErr w:type="spellStart"/>
      <w:r w:rsidRPr="00585DB2">
        <w:rPr>
          <w:lang w:val="ru-RU"/>
        </w:rPr>
        <w:t>частка</w:t>
      </w:r>
      <w:proofErr w:type="spellEnd"/>
      <w:r w:rsidRPr="00585DB2">
        <w:rPr>
          <w:lang w:val="ru-RU"/>
        </w:rPr>
        <w:t xml:space="preserve"> </w:t>
      </w:r>
      <w:proofErr w:type="spellStart"/>
      <w:r w:rsidRPr="00585DB2">
        <w:rPr>
          <w:lang w:val="ru-RU"/>
        </w:rPr>
        <w:t>витрат</w:t>
      </w:r>
      <w:proofErr w:type="spellEnd"/>
      <w:r w:rsidRPr="00585DB2">
        <w:rPr>
          <w:lang w:val="ru-RU"/>
        </w:rPr>
        <w:t xml:space="preserve"> на </w:t>
      </w:r>
      <w:proofErr w:type="spellStart"/>
      <w:r w:rsidRPr="00585DB2">
        <w:rPr>
          <w:lang w:val="ru-RU"/>
        </w:rPr>
        <w:t>продовольчі</w:t>
      </w:r>
      <w:proofErr w:type="spellEnd"/>
      <w:r w:rsidRPr="00585DB2">
        <w:rPr>
          <w:lang w:val="ru-RU"/>
        </w:rPr>
        <w:t xml:space="preserve"> </w:t>
      </w:r>
      <w:proofErr w:type="spellStart"/>
      <w:r w:rsidRPr="00585DB2">
        <w:rPr>
          <w:lang w:val="ru-RU"/>
        </w:rPr>
        <w:t>товари</w:t>
      </w:r>
      <w:proofErr w:type="spellEnd"/>
      <w:r w:rsidRPr="00585DB2">
        <w:rPr>
          <w:lang w:val="ru-RU"/>
        </w:rPr>
        <w:t xml:space="preserve"> в </w:t>
      </w:r>
      <w:proofErr w:type="spellStart"/>
      <w:r w:rsidRPr="00585DB2">
        <w:rPr>
          <w:lang w:val="ru-RU"/>
        </w:rPr>
        <w:t>споживчих</w:t>
      </w:r>
      <w:proofErr w:type="spellEnd"/>
      <w:r w:rsidRPr="00585DB2">
        <w:rPr>
          <w:lang w:val="ru-RU"/>
        </w:rPr>
        <w:t xml:space="preserve"> </w:t>
      </w:r>
      <w:proofErr w:type="spellStart"/>
      <w:r w:rsidRPr="00585DB2">
        <w:rPr>
          <w:lang w:val="ru-RU"/>
        </w:rPr>
        <w:t>грошових</w:t>
      </w:r>
      <w:proofErr w:type="spellEnd"/>
      <w:r w:rsidRPr="00585DB2">
        <w:rPr>
          <w:lang w:val="ru-RU"/>
        </w:rPr>
        <w:t xml:space="preserve"> </w:t>
      </w:r>
      <w:proofErr w:type="spellStart"/>
      <w:r w:rsidRPr="00585DB2">
        <w:rPr>
          <w:lang w:val="ru-RU"/>
        </w:rPr>
        <w:t>витратах</w:t>
      </w:r>
      <w:proofErr w:type="spellEnd"/>
      <w:r w:rsidRPr="00585DB2">
        <w:rPr>
          <w:lang w:val="ru-RU"/>
        </w:rPr>
        <w:t xml:space="preserve"> </w:t>
      </w:r>
      <w:proofErr w:type="spellStart"/>
      <w:r w:rsidRPr="00585DB2">
        <w:rPr>
          <w:lang w:val="ru-RU"/>
        </w:rPr>
        <w:t>домогосподарств</w:t>
      </w:r>
      <w:proofErr w:type="spellEnd"/>
      <w:r w:rsidRPr="00585DB2">
        <w:rPr>
          <w:lang w:val="ru-RU"/>
        </w:rPr>
        <w:t xml:space="preserve"> </w:t>
      </w:r>
      <w:proofErr w:type="spellStart"/>
      <w:r w:rsidRPr="00585DB2">
        <w:rPr>
          <w:lang w:val="ru-RU"/>
        </w:rPr>
        <w:t>перевищила</w:t>
      </w:r>
      <w:proofErr w:type="spellEnd"/>
      <w:r w:rsidRPr="00585DB2">
        <w:rPr>
          <w:lang w:val="ru-RU"/>
        </w:rPr>
        <w:t xml:space="preserve"> критично </w:t>
      </w:r>
      <w:proofErr w:type="spellStart"/>
      <w:r w:rsidRPr="00585DB2">
        <w:rPr>
          <w:lang w:val="ru-RU"/>
        </w:rPr>
        <w:t>допустимі</w:t>
      </w:r>
      <w:proofErr w:type="spellEnd"/>
      <w:r w:rsidRPr="00585DB2">
        <w:rPr>
          <w:lang w:val="ru-RU"/>
        </w:rPr>
        <w:t xml:space="preserve"> </w:t>
      </w:r>
      <w:proofErr w:type="spellStart"/>
      <w:r w:rsidRPr="00585DB2">
        <w:rPr>
          <w:lang w:val="ru-RU"/>
        </w:rPr>
        <w:t>норми</w:t>
      </w:r>
      <w:proofErr w:type="spellEnd"/>
      <w:r w:rsidRPr="00585DB2">
        <w:rPr>
          <w:lang w:val="ru-RU"/>
        </w:rPr>
        <w:t>.</w:t>
      </w:r>
    </w:p>
    <w:p w:rsidR="00585DB2" w:rsidRPr="00E172E4" w:rsidRDefault="00585DB2" w:rsidP="00585DB2">
      <w:pPr>
        <w:ind w:firstLine="720"/>
        <w:jc w:val="both"/>
        <w:rPr>
          <w:lang w:val="ru-RU"/>
        </w:rPr>
      </w:pPr>
      <w:r w:rsidRPr="00E172E4">
        <w:rPr>
          <w:lang w:val="ru-RU"/>
        </w:rPr>
        <w:t xml:space="preserve">З </w:t>
      </w:r>
      <w:proofErr w:type="spellStart"/>
      <w:r w:rsidRPr="00E172E4">
        <w:rPr>
          <w:lang w:val="ru-RU"/>
        </w:rPr>
        <w:t>однієї</w:t>
      </w:r>
      <w:proofErr w:type="spellEnd"/>
      <w:r w:rsidRPr="00E172E4">
        <w:rPr>
          <w:lang w:val="ru-RU"/>
        </w:rPr>
        <w:t xml:space="preserve"> </w:t>
      </w:r>
      <w:proofErr w:type="spellStart"/>
      <w:r w:rsidRPr="00E172E4">
        <w:rPr>
          <w:lang w:val="ru-RU"/>
        </w:rPr>
        <w:t>сторони</w:t>
      </w:r>
      <w:proofErr w:type="spellEnd"/>
      <w:r w:rsidRPr="00E172E4">
        <w:rPr>
          <w:lang w:val="ru-RU"/>
        </w:rPr>
        <w:t xml:space="preserve"> </w:t>
      </w:r>
      <w:proofErr w:type="spellStart"/>
      <w:r w:rsidRPr="00E172E4">
        <w:rPr>
          <w:lang w:val="ru-RU"/>
        </w:rPr>
        <w:t>влада</w:t>
      </w:r>
      <w:proofErr w:type="spellEnd"/>
      <w:r w:rsidRPr="00E172E4">
        <w:rPr>
          <w:lang w:val="ru-RU"/>
        </w:rPr>
        <w:t xml:space="preserve"> </w:t>
      </w:r>
      <w:proofErr w:type="spellStart"/>
      <w:r w:rsidRPr="00E172E4">
        <w:rPr>
          <w:lang w:val="ru-RU"/>
        </w:rPr>
        <w:t>ніби</w:t>
      </w:r>
      <w:proofErr w:type="spellEnd"/>
      <w:r w:rsidRPr="00E172E4">
        <w:rPr>
          <w:lang w:val="ru-RU"/>
        </w:rPr>
        <w:t xml:space="preserve"> </w:t>
      </w:r>
      <w:proofErr w:type="spellStart"/>
      <w:r w:rsidRPr="00E172E4">
        <w:rPr>
          <w:lang w:val="ru-RU"/>
        </w:rPr>
        <w:t>розуміє</w:t>
      </w:r>
      <w:proofErr w:type="spellEnd"/>
      <w:r w:rsidRPr="00E172E4">
        <w:rPr>
          <w:lang w:val="ru-RU"/>
        </w:rPr>
        <w:t xml:space="preserve">, </w:t>
      </w:r>
      <w:proofErr w:type="spellStart"/>
      <w:r w:rsidRPr="00E172E4">
        <w:rPr>
          <w:lang w:val="ru-RU"/>
        </w:rPr>
        <w:t>які</w:t>
      </w:r>
      <w:proofErr w:type="spellEnd"/>
      <w:r w:rsidRPr="00E172E4">
        <w:rPr>
          <w:lang w:val="ru-RU"/>
        </w:rPr>
        <w:t xml:space="preserve"> </w:t>
      </w:r>
      <w:proofErr w:type="spellStart"/>
      <w:r w:rsidRPr="00E172E4">
        <w:rPr>
          <w:lang w:val="ru-RU"/>
        </w:rPr>
        <w:t>загрози</w:t>
      </w:r>
      <w:proofErr w:type="spellEnd"/>
      <w:r w:rsidRPr="00E172E4">
        <w:rPr>
          <w:lang w:val="ru-RU"/>
        </w:rPr>
        <w:t xml:space="preserve"> стоять перед </w:t>
      </w:r>
      <w:proofErr w:type="spellStart"/>
      <w:r w:rsidRPr="00E172E4">
        <w:rPr>
          <w:lang w:val="ru-RU"/>
        </w:rPr>
        <w:t>країною</w:t>
      </w:r>
      <w:proofErr w:type="spellEnd"/>
      <w:r w:rsidRPr="00E172E4">
        <w:rPr>
          <w:lang w:val="ru-RU"/>
        </w:rPr>
        <w:t xml:space="preserve">, особливо в </w:t>
      </w:r>
      <w:proofErr w:type="spellStart"/>
      <w:r w:rsidRPr="00E172E4">
        <w:rPr>
          <w:lang w:val="ru-RU"/>
        </w:rPr>
        <w:t>частині</w:t>
      </w:r>
      <w:proofErr w:type="spellEnd"/>
      <w:r w:rsidRPr="00E172E4">
        <w:rPr>
          <w:lang w:val="ru-RU"/>
        </w:rPr>
        <w:t xml:space="preserve"> </w:t>
      </w:r>
      <w:proofErr w:type="spellStart"/>
      <w:r w:rsidRPr="00E172E4">
        <w:rPr>
          <w:lang w:val="ru-RU"/>
        </w:rPr>
        <w:t>забезпечення</w:t>
      </w:r>
      <w:proofErr w:type="spellEnd"/>
      <w:r w:rsidRPr="00E172E4">
        <w:rPr>
          <w:lang w:val="ru-RU"/>
        </w:rPr>
        <w:t xml:space="preserve"> </w:t>
      </w:r>
      <w:proofErr w:type="spellStart"/>
      <w:r w:rsidRPr="00E172E4">
        <w:rPr>
          <w:lang w:val="ru-RU"/>
        </w:rPr>
        <w:t>соціальної</w:t>
      </w:r>
      <w:proofErr w:type="spellEnd"/>
      <w:r w:rsidRPr="00E172E4">
        <w:rPr>
          <w:lang w:val="ru-RU"/>
        </w:rPr>
        <w:t xml:space="preserve"> </w:t>
      </w:r>
      <w:proofErr w:type="spellStart"/>
      <w:r w:rsidRPr="00E172E4">
        <w:rPr>
          <w:lang w:val="ru-RU"/>
        </w:rPr>
        <w:t>безпеки</w:t>
      </w:r>
      <w:proofErr w:type="spellEnd"/>
      <w:r w:rsidRPr="00E172E4">
        <w:rPr>
          <w:lang w:val="ru-RU"/>
        </w:rPr>
        <w:t xml:space="preserve"> (</w:t>
      </w:r>
      <w:proofErr w:type="spellStart"/>
      <w:r w:rsidRPr="00E172E4">
        <w:rPr>
          <w:lang w:val="ru-RU"/>
        </w:rPr>
        <w:t>неминучість</w:t>
      </w:r>
      <w:proofErr w:type="spellEnd"/>
      <w:r w:rsidRPr="00E172E4">
        <w:rPr>
          <w:lang w:val="ru-RU"/>
        </w:rPr>
        <w:t xml:space="preserve"> </w:t>
      </w:r>
      <w:proofErr w:type="spellStart"/>
      <w:r w:rsidRPr="00E172E4">
        <w:rPr>
          <w:lang w:val="ru-RU"/>
        </w:rPr>
        <w:t>зниження</w:t>
      </w:r>
      <w:proofErr w:type="spellEnd"/>
      <w:r w:rsidRPr="00E172E4">
        <w:rPr>
          <w:lang w:val="ru-RU"/>
        </w:rPr>
        <w:t xml:space="preserve"> </w:t>
      </w:r>
      <w:proofErr w:type="spellStart"/>
      <w:r w:rsidRPr="00E172E4">
        <w:rPr>
          <w:lang w:val="ru-RU"/>
        </w:rPr>
        <w:t>рівня</w:t>
      </w:r>
      <w:proofErr w:type="spellEnd"/>
      <w:r w:rsidRPr="00E172E4">
        <w:rPr>
          <w:lang w:val="ru-RU"/>
        </w:rPr>
        <w:t xml:space="preserve"> </w:t>
      </w:r>
      <w:proofErr w:type="spellStart"/>
      <w:r w:rsidRPr="00E172E4">
        <w:rPr>
          <w:lang w:val="ru-RU"/>
        </w:rPr>
        <w:t>життя</w:t>
      </w:r>
      <w:proofErr w:type="spellEnd"/>
      <w:r w:rsidRPr="00E172E4">
        <w:rPr>
          <w:lang w:val="ru-RU"/>
        </w:rPr>
        <w:t xml:space="preserve">  в </w:t>
      </w:r>
      <w:proofErr w:type="spellStart"/>
      <w:r w:rsidRPr="00E172E4">
        <w:rPr>
          <w:lang w:val="ru-RU"/>
        </w:rPr>
        <w:t>умовах</w:t>
      </w:r>
      <w:proofErr w:type="spellEnd"/>
      <w:r w:rsidRPr="00E172E4">
        <w:rPr>
          <w:lang w:val="ru-RU"/>
        </w:rPr>
        <w:t xml:space="preserve"> </w:t>
      </w:r>
      <w:proofErr w:type="spellStart"/>
      <w:r w:rsidRPr="00E172E4">
        <w:rPr>
          <w:lang w:val="ru-RU"/>
        </w:rPr>
        <w:t>воєнної</w:t>
      </w:r>
      <w:proofErr w:type="spellEnd"/>
      <w:r w:rsidRPr="00E172E4">
        <w:rPr>
          <w:lang w:val="ru-RU"/>
        </w:rPr>
        <w:t xml:space="preserve"> </w:t>
      </w:r>
      <w:proofErr w:type="spellStart"/>
      <w:r w:rsidRPr="00E172E4">
        <w:rPr>
          <w:lang w:val="ru-RU"/>
        </w:rPr>
        <w:t>агресії</w:t>
      </w:r>
      <w:proofErr w:type="spellEnd"/>
      <w:r w:rsidRPr="00E172E4">
        <w:rPr>
          <w:lang w:val="ru-RU"/>
        </w:rPr>
        <w:t xml:space="preserve">; </w:t>
      </w:r>
      <w:proofErr w:type="spellStart"/>
      <w:r w:rsidRPr="00E172E4">
        <w:rPr>
          <w:lang w:val="ru-RU"/>
        </w:rPr>
        <w:t>зростання</w:t>
      </w:r>
      <w:proofErr w:type="spellEnd"/>
      <w:r w:rsidRPr="00E172E4">
        <w:rPr>
          <w:lang w:val="ru-RU"/>
        </w:rPr>
        <w:t xml:space="preserve"> </w:t>
      </w:r>
      <w:proofErr w:type="spellStart"/>
      <w:r w:rsidRPr="00E172E4">
        <w:rPr>
          <w:lang w:val="ru-RU"/>
        </w:rPr>
        <w:t>соціальної</w:t>
      </w:r>
      <w:proofErr w:type="spellEnd"/>
      <w:r w:rsidRPr="00E172E4">
        <w:rPr>
          <w:lang w:val="ru-RU"/>
        </w:rPr>
        <w:t xml:space="preserve"> </w:t>
      </w:r>
      <w:proofErr w:type="spellStart"/>
      <w:r w:rsidRPr="00E172E4">
        <w:rPr>
          <w:lang w:val="ru-RU"/>
        </w:rPr>
        <w:t>нерівності</w:t>
      </w:r>
      <w:proofErr w:type="spellEnd"/>
      <w:r w:rsidRPr="00E172E4">
        <w:rPr>
          <w:lang w:val="ru-RU"/>
        </w:rPr>
        <w:t xml:space="preserve">, </w:t>
      </w:r>
      <w:proofErr w:type="spellStart"/>
      <w:r w:rsidRPr="00E172E4">
        <w:rPr>
          <w:lang w:val="ru-RU"/>
        </w:rPr>
        <w:t>втрати</w:t>
      </w:r>
      <w:proofErr w:type="spellEnd"/>
      <w:r w:rsidRPr="00E172E4">
        <w:rPr>
          <w:lang w:val="ru-RU"/>
        </w:rPr>
        <w:t xml:space="preserve"> </w:t>
      </w:r>
      <w:proofErr w:type="spellStart"/>
      <w:r w:rsidRPr="00E172E4">
        <w:rPr>
          <w:lang w:val="ru-RU"/>
        </w:rPr>
        <w:t>національного</w:t>
      </w:r>
      <w:proofErr w:type="spellEnd"/>
      <w:r w:rsidRPr="00E172E4">
        <w:rPr>
          <w:lang w:val="ru-RU"/>
        </w:rPr>
        <w:t xml:space="preserve"> ринку </w:t>
      </w:r>
      <w:proofErr w:type="spellStart"/>
      <w:r w:rsidRPr="00E172E4">
        <w:rPr>
          <w:lang w:val="ru-RU"/>
        </w:rPr>
        <w:t>праці</w:t>
      </w:r>
      <w:proofErr w:type="spellEnd"/>
      <w:r w:rsidRPr="00E172E4">
        <w:rPr>
          <w:lang w:val="ru-RU"/>
        </w:rPr>
        <w:t xml:space="preserve">, </w:t>
      </w:r>
      <w:proofErr w:type="spellStart"/>
      <w:r w:rsidRPr="00E172E4">
        <w:rPr>
          <w:lang w:val="ru-RU"/>
        </w:rPr>
        <w:t>погіршення</w:t>
      </w:r>
      <w:proofErr w:type="spellEnd"/>
      <w:r w:rsidRPr="00E172E4">
        <w:rPr>
          <w:lang w:val="ru-RU"/>
        </w:rPr>
        <w:t xml:space="preserve"> стану </w:t>
      </w:r>
      <w:proofErr w:type="spellStart"/>
      <w:r w:rsidRPr="00E172E4">
        <w:rPr>
          <w:lang w:val="ru-RU"/>
        </w:rPr>
        <w:t>здоров’я</w:t>
      </w:r>
      <w:proofErr w:type="spellEnd"/>
      <w:r w:rsidRPr="00E172E4">
        <w:rPr>
          <w:lang w:val="ru-RU"/>
        </w:rPr>
        <w:t xml:space="preserve"> </w:t>
      </w:r>
      <w:proofErr w:type="spellStart"/>
      <w:r w:rsidRPr="00E172E4">
        <w:rPr>
          <w:lang w:val="ru-RU"/>
        </w:rPr>
        <w:t>населення</w:t>
      </w:r>
      <w:proofErr w:type="spellEnd"/>
      <w:r w:rsidRPr="00E172E4">
        <w:rPr>
          <w:lang w:val="ru-RU"/>
        </w:rPr>
        <w:t xml:space="preserve">; криза </w:t>
      </w:r>
      <w:proofErr w:type="spellStart"/>
      <w:r w:rsidRPr="00E172E4">
        <w:rPr>
          <w:lang w:val="ru-RU"/>
        </w:rPr>
        <w:t>довіри</w:t>
      </w:r>
      <w:proofErr w:type="spellEnd"/>
      <w:r w:rsidRPr="00E172E4">
        <w:rPr>
          <w:lang w:val="ru-RU"/>
        </w:rPr>
        <w:t xml:space="preserve"> в </w:t>
      </w:r>
      <w:proofErr w:type="spellStart"/>
      <w:r w:rsidRPr="00E172E4">
        <w:rPr>
          <w:lang w:val="ru-RU"/>
        </w:rPr>
        <w:t>соціумі</w:t>
      </w:r>
      <w:proofErr w:type="spellEnd"/>
      <w:r w:rsidRPr="00E172E4">
        <w:rPr>
          <w:lang w:val="ru-RU"/>
        </w:rPr>
        <w:t xml:space="preserve">; </w:t>
      </w:r>
      <w:proofErr w:type="spellStart"/>
      <w:r w:rsidRPr="00E172E4">
        <w:rPr>
          <w:lang w:val="ru-RU"/>
        </w:rPr>
        <w:t>гуманітарна</w:t>
      </w:r>
      <w:proofErr w:type="spellEnd"/>
      <w:r w:rsidRPr="00E172E4">
        <w:rPr>
          <w:lang w:val="ru-RU"/>
        </w:rPr>
        <w:t xml:space="preserve"> катастрофа </w:t>
      </w:r>
      <w:proofErr w:type="spellStart"/>
      <w:r w:rsidRPr="00E172E4">
        <w:rPr>
          <w:lang w:val="ru-RU"/>
        </w:rPr>
        <w:t>Донбасу</w:t>
      </w:r>
      <w:proofErr w:type="spellEnd"/>
      <w:r w:rsidRPr="00E172E4">
        <w:rPr>
          <w:lang w:val="ru-RU"/>
        </w:rPr>
        <w:t xml:space="preserve"> та </w:t>
      </w:r>
      <w:proofErr w:type="spellStart"/>
      <w:r w:rsidRPr="00E172E4">
        <w:rPr>
          <w:lang w:val="ru-RU"/>
        </w:rPr>
        <w:t>інші</w:t>
      </w:r>
      <w:proofErr w:type="spellEnd"/>
      <w:r w:rsidRPr="00E172E4">
        <w:rPr>
          <w:lang w:val="ru-RU"/>
        </w:rPr>
        <w:t xml:space="preserve"> (</w:t>
      </w:r>
      <w:proofErr w:type="spellStart"/>
      <w:r w:rsidRPr="00E172E4">
        <w:rPr>
          <w:lang w:val="ru-RU"/>
        </w:rPr>
        <w:t>детальніше</w:t>
      </w:r>
      <w:proofErr w:type="spellEnd"/>
      <w:r w:rsidRPr="00E172E4">
        <w:rPr>
          <w:lang w:val="ru-RU"/>
        </w:rPr>
        <w:t xml:space="preserve"> див.[1] ), а з </w:t>
      </w:r>
      <w:proofErr w:type="spellStart"/>
      <w:r w:rsidRPr="00E172E4">
        <w:rPr>
          <w:lang w:val="ru-RU"/>
        </w:rPr>
        <w:t>іншої</w:t>
      </w:r>
      <w:proofErr w:type="spellEnd"/>
      <w:r w:rsidRPr="00E172E4">
        <w:rPr>
          <w:lang w:val="ru-RU"/>
        </w:rPr>
        <w:t xml:space="preserve"> – </w:t>
      </w:r>
      <w:proofErr w:type="spellStart"/>
      <w:r w:rsidRPr="00E172E4">
        <w:rPr>
          <w:lang w:val="ru-RU"/>
        </w:rPr>
        <w:t>продовжує</w:t>
      </w:r>
      <w:proofErr w:type="spellEnd"/>
      <w:r w:rsidRPr="00E172E4">
        <w:rPr>
          <w:lang w:val="ru-RU"/>
        </w:rPr>
        <w:t xml:space="preserve"> </w:t>
      </w:r>
      <w:proofErr w:type="spellStart"/>
      <w:r w:rsidRPr="00E172E4">
        <w:rPr>
          <w:lang w:val="ru-RU"/>
        </w:rPr>
        <w:t>політику</w:t>
      </w:r>
      <w:proofErr w:type="spellEnd"/>
      <w:r w:rsidRPr="00E172E4">
        <w:rPr>
          <w:lang w:val="ru-RU"/>
        </w:rPr>
        <w:t xml:space="preserve"> </w:t>
      </w:r>
      <w:proofErr w:type="spellStart"/>
      <w:r w:rsidRPr="00E172E4">
        <w:rPr>
          <w:lang w:val="ru-RU"/>
        </w:rPr>
        <w:t>продукування</w:t>
      </w:r>
      <w:proofErr w:type="spellEnd"/>
      <w:r w:rsidRPr="00E172E4">
        <w:rPr>
          <w:lang w:val="ru-RU"/>
        </w:rPr>
        <w:t xml:space="preserve"> </w:t>
      </w:r>
      <w:proofErr w:type="spellStart"/>
      <w:r w:rsidRPr="00E172E4">
        <w:rPr>
          <w:lang w:val="ru-RU"/>
        </w:rPr>
        <w:t>різного</w:t>
      </w:r>
      <w:proofErr w:type="spellEnd"/>
      <w:r w:rsidRPr="00E172E4">
        <w:rPr>
          <w:lang w:val="ru-RU"/>
        </w:rPr>
        <w:t xml:space="preserve"> роду </w:t>
      </w:r>
      <w:proofErr w:type="spellStart"/>
      <w:r w:rsidRPr="00E172E4">
        <w:rPr>
          <w:lang w:val="ru-RU"/>
        </w:rPr>
        <w:t>стратегічних</w:t>
      </w:r>
      <w:proofErr w:type="spellEnd"/>
      <w:r w:rsidRPr="00E172E4">
        <w:rPr>
          <w:lang w:val="ru-RU"/>
        </w:rPr>
        <w:t xml:space="preserve"> </w:t>
      </w:r>
      <w:proofErr w:type="spellStart"/>
      <w:r w:rsidRPr="00E172E4">
        <w:rPr>
          <w:lang w:val="ru-RU"/>
        </w:rPr>
        <w:t>документів</w:t>
      </w:r>
      <w:proofErr w:type="spellEnd"/>
      <w:r w:rsidRPr="00E172E4">
        <w:rPr>
          <w:lang w:val="ru-RU"/>
        </w:rPr>
        <w:t xml:space="preserve"> без практики </w:t>
      </w:r>
      <w:proofErr w:type="spellStart"/>
      <w:r w:rsidRPr="00E172E4">
        <w:rPr>
          <w:lang w:val="ru-RU"/>
        </w:rPr>
        <w:t>їх</w:t>
      </w:r>
      <w:proofErr w:type="spellEnd"/>
      <w:r w:rsidRPr="00E172E4">
        <w:rPr>
          <w:lang w:val="ru-RU"/>
        </w:rPr>
        <w:t xml:space="preserve"> </w:t>
      </w:r>
      <w:proofErr w:type="spellStart"/>
      <w:r w:rsidRPr="00E172E4">
        <w:rPr>
          <w:lang w:val="ru-RU"/>
        </w:rPr>
        <w:t>належного</w:t>
      </w:r>
      <w:proofErr w:type="spellEnd"/>
      <w:r w:rsidRPr="00E172E4">
        <w:rPr>
          <w:lang w:val="ru-RU"/>
        </w:rPr>
        <w:t xml:space="preserve"> </w:t>
      </w:r>
      <w:proofErr w:type="spellStart"/>
      <w:r w:rsidRPr="00E172E4">
        <w:rPr>
          <w:lang w:val="ru-RU"/>
        </w:rPr>
        <w:t>виконання</w:t>
      </w:r>
      <w:proofErr w:type="spellEnd"/>
      <w:r w:rsidRPr="00E172E4">
        <w:rPr>
          <w:lang w:val="ru-RU"/>
        </w:rPr>
        <w:t xml:space="preserve">, </w:t>
      </w:r>
      <w:proofErr w:type="spellStart"/>
      <w:r w:rsidRPr="00E172E4">
        <w:rPr>
          <w:lang w:val="ru-RU"/>
        </w:rPr>
        <w:t>що</w:t>
      </w:r>
      <w:proofErr w:type="spellEnd"/>
      <w:r w:rsidRPr="00E172E4">
        <w:rPr>
          <w:lang w:val="ru-RU"/>
        </w:rPr>
        <w:t xml:space="preserve"> </w:t>
      </w:r>
      <w:proofErr w:type="spellStart"/>
      <w:r w:rsidRPr="00E172E4">
        <w:rPr>
          <w:lang w:val="ru-RU"/>
        </w:rPr>
        <w:t>зумовлено</w:t>
      </w:r>
      <w:proofErr w:type="spellEnd"/>
      <w:r w:rsidRPr="00E172E4">
        <w:rPr>
          <w:lang w:val="ru-RU"/>
        </w:rPr>
        <w:t xml:space="preserve"> </w:t>
      </w:r>
      <w:proofErr w:type="spellStart"/>
      <w:r w:rsidRPr="00E172E4">
        <w:rPr>
          <w:lang w:val="ru-RU"/>
        </w:rPr>
        <w:t>відсутністю</w:t>
      </w:r>
      <w:proofErr w:type="spellEnd"/>
      <w:r w:rsidRPr="00E172E4">
        <w:rPr>
          <w:lang w:val="ru-RU"/>
        </w:rPr>
        <w:t xml:space="preserve"> в них </w:t>
      </w:r>
      <w:proofErr w:type="spellStart"/>
      <w:r w:rsidRPr="00E172E4">
        <w:rPr>
          <w:lang w:val="ru-RU"/>
        </w:rPr>
        <w:t>конкретних</w:t>
      </w:r>
      <w:proofErr w:type="spellEnd"/>
      <w:r w:rsidRPr="00E172E4">
        <w:rPr>
          <w:lang w:val="ru-RU"/>
        </w:rPr>
        <w:t xml:space="preserve"> </w:t>
      </w:r>
      <w:proofErr w:type="spellStart"/>
      <w:r w:rsidRPr="00E172E4">
        <w:rPr>
          <w:lang w:val="ru-RU"/>
        </w:rPr>
        <w:t>показників</w:t>
      </w:r>
      <w:proofErr w:type="spellEnd"/>
      <w:r w:rsidRPr="00E172E4">
        <w:rPr>
          <w:lang w:val="ru-RU"/>
        </w:rPr>
        <w:t xml:space="preserve">, </w:t>
      </w:r>
      <w:proofErr w:type="spellStart"/>
      <w:r w:rsidRPr="00E172E4">
        <w:rPr>
          <w:lang w:val="ru-RU"/>
        </w:rPr>
        <w:t>які</w:t>
      </w:r>
      <w:proofErr w:type="spellEnd"/>
      <w:r w:rsidRPr="00E172E4">
        <w:rPr>
          <w:lang w:val="ru-RU"/>
        </w:rPr>
        <w:t xml:space="preserve"> </w:t>
      </w:r>
      <w:proofErr w:type="spellStart"/>
      <w:r w:rsidRPr="00E172E4">
        <w:rPr>
          <w:lang w:val="ru-RU"/>
        </w:rPr>
        <w:t>характеризуватимуть</w:t>
      </w:r>
      <w:proofErr w:type="spellEnd"/>
      <w:r w:rsidRPr="00E172E4">
        <w:rPr>
          <w:lang w:val="ru-RU"/>
        </w:rPr>
        <w:t xml:space="preserve"> </w:t>
      </w:r>
      <w:proofErr w:type="spellStart"/>
      <w:r w:rsidRPr="00E172E4">
        <w:rPr>
          <w:lang w:val="ru-RU"/>
        </w:rPr>
        <w:t>успішну</w:t>
      </w:r>
      <w:proofErr w:type="spellEnd"/>
      <w:r w:rsidRPr="00E172E4">
        <w:rPr>
          <w:lang w:val="ru-RU"/>
        </w:rPr>
        <w:t xml:space="preserve"> </w:t>
      </w:r>
      <w:proofErr w:type="spellStart"/>
      <w:r w:rsidRPr="00E172E4">
        <w:rPr>
          <w:lang w:val="ru-RU"/>
        </w:rPr>
        <w:t>реалізацію</w:t>
      </w:r>
      <w:proofErr w:type="spellEnd"/>
      <w:r w:rsidRPr="00E172E4">
        <w:rPr>
          <w:lang w:val="ru-RU"/>
        </w:rPr>
        <w:t xml:space="preserve"> </w:t>
      </w:r>
      <w:proofErr w:type="spellStart"/>
      <w:r w:rsidRPr="00E172E4">
        <w:rPr>
          <w:lang w:val="ru-RU"/>
        </w:rPr>
        <w:t>відповідної</w:t>
      </w:r>
      <w:proofErr w:type="spellEnd"/>
      <w:r w:rsidRPr="00E172E4">
        <w:rPr>
          <w:lang w:val="ru-RU"/>
        </w:rPr>
        <w:t xml:space="preserve"> </w:t>
      </w:r>
      <w:proofErr w:type="spellStart"/>
      <w:r w:rsidRPr="00E172E4">
        <w:rPr>
          <w:lang w:val="ru-RU"/>
        </w:rPr>
        <w:t>стратегії</w:t>
      </w:r>
      <w:proofErr w:type="spellEnd"/>
      <w:r w:rsidRPr="00E172E4">
        <w:rPr>
          <w:lang w:val="ru-RU"/>
        </w:rPr>
        <w:t xml:space="preserve"> </w:t>
      </w:r>
      <w:proofErr w:type="spellStart"/>
      <w:r w:rsidRPr="00E172E4">
        <w:rPr>
          <w:lang w:val="ru-RU"/>
        </w:rPr>
        <w:t>або</w:t>
      </w:r>
      <w:proofErr w:type="spellEnd"/>
      <w:r w:rsidRPr="00E172E4">
        <w:rPr>
          <w:lang w:val="ru-RU"/>
        </w:rPr>
        <w:t xml:space="preserve"> </w:t>
      </w:r>
      <w:proofErr w:type="spellStart"/>
      <w:r w:rsidRPr="00E172E4">
        <w:rPr>
          <w:lang w:val="ru-RU"/>
        </w:rPr>
        <w:t>недостатню</w:t>
      </w:r>
      <w:proofErr w:type="spellEnd"/>
      <w:r w:rsidRPr="00E172E4">
        <w:rPr>
          <w:lang w:val="ru-RU"/>
        </w:rPr>
        <w:t xml:space="preserve"> </w:t>
      </w:r>
      <w:proofErr w:type="spellStart"/>
      <w:r w:rsidRPr="00E172E4">
        <w:rPr>
          <w:lang w:val="ru-RU"/>
        </w:rPr>
        <w:t>їх</w:t>
      </w:r>
      <w:proofErr w:type="spellEnd"/>
      <w:r w:rsidRPr="00E172E4">
        <w:rPr>
          <w:lang w:val="ru-RU"/>
        </w:rPr>
        <w:t xml:space="preserve"> </w:t>
      </w:r>
      <w:proofErr w:type="spellStart"/>
      <w:r w:rsidRPr="00E172E4">
        <w:rPr>
          <w:lang w:val="ru-RU"/>
        </w:rPr>
        <w:t>кількість</w:t>
      </w:r>
      <w:proofErr w:type="spellEnd"/>
      <w:r w:rsidRPr="00E172E4">
        <w:rPr>
          <w:lang w:val="ru-RU"/>
        </w:rPr>
        <w:t>.</w:t>
      </w:r>
    </w:p>
    <w:p w:rsidR="00585DB2" w:rsidRPr="00E172E4" w:rsidRDefault="00585DB2" w:rsidP="00585DB2">
      <w:pPr>
        <w:ind w:firstLine="720"/>
        <w:jc w:val="both"/>
        <w:rPr>
          <w:lang w:val="ru-RU"/>
        </w:rPr>
      </w:pPr>
    </w:p>
    <w:p w:rsidR="00447C51" w:rsidRPr="00B34D7D" w:rsidRDefault="00447C51" w:rsidP="003F5007">
      <w:pPr>
        <w:ind w:firstLine="720"/>
        <w:jc w:val="right"/>
      </w:pPr>
      <w:r w:rsidRPr="00B34D7D">
        <w:t xml:space="preserve">Таблиця </w:t>
      </w:r>
      <w:r>
        <w:t>5</w:t>
      </w:r>
    </w:p>
    <w:p w:rsidR="00447C51" w:rsidRPr="00B34D7D" w:rsidRDefault="00447C51" w:rsidP="003F5007">
      <w:pPr>
        <w:ind w:firstLine="720"/>
        <w:jc w:val="center"/>
      </w:pPr>
      <w:r w:rsidRPr="00B34D7D">
        <w:t>Фактичні та нормативні* значення індикаторів соціальної безпеки</w:t>
      </w:r>
    </w:p>
    <w:p w:rsidR="00447C51" w:rsidRPr="00B34D7D" w:rsidRDefault="00447C51" w:rsidP="003F5007">
      <w:pPr>
        <w:ind w:firstLine="720"/>
        <w:jc w:val="center"/>
      </w:pPr>
      <w:r w:rsidRPr="00B34D7D">
        <w:t xml:space="preserve">у 2014 – 2015 р. </w:t>
      </w:r>
    </w:p>
    <w:tbl>
      <w:tblPr>
        <w:tblStyle w:val="a9"/>
        <w:tblW w:w="9639" w:type="dxa"/>
        <w:tblInd w:w="108" w:type="dxa"/>
        <w:tblLayout w:type="fixed"/>
        <w:tblLook w:val="04A0" w:firstRow="1" w:lastRow="0" w:firstColumn="1" w:lastColumn="0" w:noHBand="0" w:noVBand="1"/>
      </w:tblPr>
      <w:tblGrid>
        <w:gridCol w:w="4962"/>
        <w:gridCol w:w="708"/>
        <w:gridCol w:w="709"/>
        <w:gridCol w:w="709"/>
        <w:gridCol w:w="709"/>
        <w:gridCol w:w="850"/>
        <w:gridCol w:w="992"/>
      </w:tblGrid>
      <w:tr w:rsidR="00447C51" w:rsidRPr="00B34D7D" w:rsidTr="00A73664">
        <w:trPr>
          <w:trHeight w:val="323"/>
        </w:trPr>
        <w:tc>
          <w:tcPr>
            <w:tcW w:w="4962" w:type="dxa"/>
            <w:vMerge w:val="restart"/>
          </w:tcPr>
          <w:p w:rsidR="00447C51" w:rsidRPr="00B34D7D" w:rsidRDefault="00447C51" w:rsidP="00A73664">
            <w:pPr>
              <w:jc w:val="center"/>
            </w:pPr>
            <w:r w:rsidRPr="00B34D7D">
              <w:t>Індикатор</w:t>
            </w:r>
          </w:p>
        </w:tc>
        <w:tc>
          <w:tcPr>
            <w:tcW w:w="708" w:type="dxa"/>
          </w:tcPr>
          <w:p w:rsidR="00447C51" w:rsidRPr="00B34D7D" w:rsidRDefault="00447C51" w:rsidP="00A73664">
            <w:pPr>
              <w:jc w:val="center"/>
            </w:pPr>
          </w:p>
        </w:tc>
        <w:tc>
          <w:tcPr>
            <w:tcW w:w="2127" w:type="dxa"/>
            <w:gridSpan w:val="3"/>
          </w:tcPr>
          <w:p w:rsidR="00447C51" w:rsidRPr="00B34D7D" w:rsidRDefault="00447C51" w:rsidP="00A73664">
            <w:pPr>
              <w:jc w:val="center"/>
            </w:pPr>
            <w:r w:rsidRPr="00B34D7D">
              <w:t>Нормативні значення індикаторів*</w:t>
            </w:r>
          </w:p>
        </w:tc>
        <w:tc>
          <w:tcPr>
            <w:tcW w:w="1842" w:type="dxa"/>
            <w:gridSpan w:val="2"/>
          </w:tcPr>
          <w:p w:rsidR="00447C51" w:rsidRPr="00B34D7D" w:rsidRDefault="00447C51" w:rsidP="00A73664">
            <w:pPr>
              <w:jc w:val="center"/>
            </w:pPr>
            <w:r w:rsidRPr="00B34D7D">
              <w:t>Фактичні значення</w:t>
            </w:r>
          </w:p>
        </w:tc>
      </w:tr>
      <w:tr w:rsidR="00447C51" w:rsidRPr="00B34D7D" w:rsidTr="00A73664">
        <w:trPr>
          <w:cantSplit/>
          <w:trHeight w:val="1346"/>
        </w:trPr>
        <w:tc>
          <w:tcPr>
            <w:tcW w:w="4962" w:type="dxa"/>
            <w:vMerge/>
          </w:tcPr>
          <w:p w:rsidR="00447C51" w:rsidRPr="00B34D7D" w:rsidRDefault="00447C51" w:rsidP="00A73664">
            <w:pPr>
              <w:jc w:val="both"/>
            </w:pPr>
          </w:p>
        </w:tc>
        <w:tc>
          <w:tcPr>
            <w:tcW w:w="708" w:type="dxa"/>
            <w:textDirection w:val="btLr"/>
          </w:tcPr>
          <w:p w:rsidR="00447C51" w:rsidRPr="00B34D7D" w:rsidRDefault="00447C51" w:rsidP="00A73664">
            <w:pPr>
              <w:spacing w:line="192" w:lineRule="auto"/>
              <w:ind w:left="113" w:right="113"/>
              <w:jc w:val="center"/>
            </w:pPr>
            <w:r w:rsidRPr="00B34D7D">
              <w:t>Оптималь-ний</w:t>
            </w:r>
          </w:p>
        </w:tc>
        <w:tc>
          <w:tcPr>
            <w:tcW w:w="709" w:type="dxa"/>
            <w:textDirection w:val="btLr"/>
          </w:tcPr>
          <w:p w:rsidR="00447C51" w:rsidRPr="00B34D7D" w:rsidRDefault="00447C51" w:rsidP="00A73664">
            <w:pPr>
              <w:ind w:left="113" w:right="113"/>
              <w:jc w:val="center"/>
            </w:pPr>
            <w:r w:rsidRPr="00B34D7D">
              <w:t>Незадові-льний</w:t>
            </w:r>
          </w:p>
        </w:tc>
        <w:tc>
          <w:tcPr>
            <w:tcW w:w="709" w:type="dxa"/>
            <w:textDirection w:val="btLr"/>
          </w:tcPr>
          <w:p w:rsidR="00447C51" w:rsidRPr="00B34D7D" w:rsidRDefault="00447C51" w:rsidP="00A73664">
            <w:pPr>
              <w:ind w:left="113" w:right="113"/>
              <w:jc w:val="center"/>
            </w:pPr>
            <w:r w:rsidRPr="00B34D7D">
              <w:t>Небезпеч-ний</w:t>
            </w:r>
          </w:p>
        </w:tc>
        <w:tc>
          <w:tcPr>
            <w:tcW w:w="709" w:type="dxa"/>
            <w:textDirection w:val="btLr"/>
          </w:tcPr>
          <w:p w:rsidR="00447C51" w:rsidRPr="00B34D7D" w:rsidRDefault="00447C51" w:rsidP="00A73664">
            <w:pPr>
              <w:spacing w:line="192" w:lineRule="auto"/>
              <w:ind w:left="113" w:right="113"/>
              <w:jc w:val="center"/>
            </w:pPr>
            <w:r w:rsidRPr="00B34D7D">
              <w:t>Критич-ний</w:t>
            </w:r>
          </w:p>
        </w:tc>
        <w:tc>
          <w:tcPr>
            <w:tcW w:w="850" w:type="dxa"/>
          </w:tcPr>
          <w:p w:rsidR="00447C51" w:rsidRPr="00B34D7D" w:rsidRDefault="00447C51" w:rsidP="00A73664">
            <w:pPr>
              <w:jc w:val="center"/>
            </w:pPr>
            <w:r w:rsidRPr="00B34D7D">
              <w:t>2014</w:t>
            </w:r>
          </w:p>
        </w:tc>
        <w:tc>
          <w:tcPr>
            <w:tcW w:w="992" w:type="dxa"/>
          </w:tcPr>
          <w:p w:rsidR="00447C51" w:rsidRPr="00B34D7D" w:rsidRDefault="00447C51" w:rsidP="00A73664">
            <w:pPr>
              <w:jc w:val="center"/>
            </w:pPr>
            <w:r w:rsidRPr="00B34D7D">
              <w:t>2015</w:t>
            </w:r>
          </w:p>
        </w:tc>
      </w:tr>
      <w:tr w:rsidR="00447C51" w:rsidRPr="00B34D7D" w:rsidTr="00A73664">
        <w:tc>
          <w:tcPr>
            <w:tcW w:w="4962" w:type="dxa"/>
          </w:tcPr>
          <w:p w:rsidR="00447C51" w:rsidRPr="00B34D7D" w:rsidRDefault="00447C51" w:rsidP="00A73664">
            <w:r w:rsidRPr="00B34D7D">
              <w:t>Відношення середньомісячної номінальної заробітної плати до прожиткового мінімуму на одну працездатну особу, разів</w:t>
            </w:r>
          </w:p>
        </w:tc>
        <w:tc>
          <w:tcPr>
            <w:tcW w:w="708" w:type="dxa"/>
          </w:tcPr>
          <w:p w:rsidR="00447C51" w:rsidRPr="00B34D7D" w:rsidRDefault="00447C51" w:rsidP="00A73664">
            <w:pPr>
              <w:jc w:val="center"/>
            </w:pPr>
            <w:r w:rsidRPr="00B34D7D">
              <w:t>3</w:t>
            </w:r>
          </w:p>
        </w:tc>
        <w:tc>
          <w:tcPr>
            <w:tcW w:w="709" w:type="dxa"/>
          </w:tcPr>
          <w:p w:rsidR="00447C51" w:rsidRPr="00B34D7D" w:rsidRDefault="00447C51" w:rsidP="00A73664">
            <w:pPr>
              <w:jc w:val="center"/>
            </w:pPr>
            <w:r w:rsidRPr="00B34D7D">
              <w:t>2,5</w:t>
            </w:r>
          </w:p>
        </w:tc>
        <w:tc>
          <w:tcPr>
            <w:tcW w:w="709" w:type="dxa"/>
          </w:tcPr>
          <w:p w:rsidR="00447C51" w:rsidRPr="00B34D7D" w:rsidRDefault="00447C51" w:rsidP="00A73664">
            <w:pPr>
              <w:jc w:val="center"/>
            </w:pPr>
            <w:r w:rsidRPr="00B34D7D">
              <w:t>2</w:t>
            </w:r>
          </w:p>
        </w:tc>
        <w:tc>
          <w:tcPr>
            <w:tcW w:w="709" w:type="dxa"/>
          </w:tcPr>
          <w:p w:rsidR="00447C51" w:rsidRPr="00B34D7D" w:rsidRDefault="00447C51" w:rsidP="00A73664">
            <w:pPr>
              <w:jc w:val="center"/>
            </w:pPr>
            <w:r w:rsidRPr="00B34D7D">
              <w:t>1,5</w:t>
            </w:r>
          </w:p>
        </w:tc>
        <w:tc>
          <w:tcPr>
            <w:tcW w:w="850" w:type="dxa"/>
          </w:tcPr>
          <w:p w:rsidR="00447C51" w:rsidRPr="00B34D7D" w:rsidRDefault="00447C51" w:rsidP="00A73664">
            <w:pPr>
              <w:jc w:val="center"/>
            </w:pPr>
            <w:r w:rsidRPr="00B34D7D">
              <w:t>2,8</w:t>
            </w:r>
          </w:p>
        </w:tc>
        <w:tc>
          <w:tcPr>
            <w:tcW w:w="992" w:type="dxa"/>
          </w:tcPr>
          <w:p w:rsidR="00447C51" w:rsidRPr="00B34D7D" w:rsidRDefault="00447C51" w:rsidP="00A73664">
            <w:pPr>
              <w:jc w:val="center"/>
            </w:pPr>
            <w:r w:rsidRPr="00B34D7D">
              <w:t>3,3</w:t>
            </w:r>
          </w:p>
        </w:tc>
      </w:tr>
      <w:tr w:rsidR="00447C51" w:rsidRPr="00B34D7D" w:rsidTr="00A73664">
        <w:tc>
          <w:tcPr>
            <w:tcW w:w="4962" w:type="dxa"/>
          </w:tcPr>
          <w:p w:rsidR="00447C51" w:rsidRPr="00B34D7D" w:rsidRDefault="00447C51" w:rsidP="00A73664">
            <w:r w:rsidRPr="00B34D7D">
              <w:rPr>
                <w:color w:val="000000"/>
              </w:rPr>
              <w:t>Відношення середнього розміру пенсії за віком до прожиткового мінімуму осіб, які втратили працездатність, разів</w:t>
            </w:r>
          </w:p>
        </w:tc>
        <w:tc>
          <w:tcPr>
            <w:tcW w:w="708" w:type="dxa"/>
          </w:tcPr>
          <w:p w:rsidR="00447C51" w:rsidRPr="00B34D7D" w:rsidRDefault="00447C51" w:rsidP="00A73664">
            <w:pPr>
              <w:jc w:val="center"/>
            </w:pPr>
            <w:r w:rsidRPr="00B34D7D">
              <w:t>2</w:t>
            </w:r>
          </w:p>
        </w:tc>
        <w:tc>
          <w:tcPr>
            <w:tcW w:w="709" w:type="dxa"/>
          </w:tcPr>
          <w:p w:rsidR="00447C51" w:rsidRPr="00B34D7D" w:rsidRDefault="00447C51" w:rsidP="00A73664">
            <w:pPr>
              <w:jc w:val="center"/>
            </w:pPr>
            <w:r w:rsidRPr="00B34D7D">
              <w:t>1,75</w:t>
            </w:r>
          </w:p>
        </w:tc>
        <w:tc>
          <w:tcPr>
            <w:tcW w:w="709" w:type="dxa"/>
          </w:tcPr>
          <w:p w:rsidR="00447C51" w:rsidRPr="00B34D7D" w:rsidRDefault="00447C51" w:rsidP="00A73664">
            <w:pPr>
              <w:jc w:val="center"/>
            </w:pPr>
            <w:r w:rsidRPr="00B34D7D">
              <w:t>1,5</w:t>
            </w:r>
          </w:p>
        </w:tc>
        <w:tc>
          <w:tcPr>
            <w:tcW w:w="709" w:type="dxa"/>
          </w:tcPr>
          <w:p w:rsidR="00447C51" w:rsidRPr="00B34D7D" w:rsidRDefault="00447C51" w:rsidP="00A73664">
            <w:pPr>
              <w:jc w:val="center"/>
            </w:pPr>
            <w:r w:rsidRPr="00B34D7D">
              <w:t>1</w:t>
            </w:r>
          </w:p>
        </w:tc>
        <w:tc>
          <w:tcPr>
            <w:tcW w:w="850" w:type="dxa"/>
          </w:tcPr>
          <w:p w:rsidR="00447C51" w:rsidRPr="00B34D7D" w:rsidRDefault="00447C51" w:rsidP="00A73664">
            <w:pPr>
              <w:jc w:val="center"/>
            </w:pPr>
            <w:r w:rsidRPr="00B34D7D">
              <w:t>1,6</w:t>
            </w:r>
          </w:p>
        </w:tc>
        <w:tc>
          <w:tcPr>
            <w:tcW w:w="992" w:type="dxa"/>
          </w:tcPr>
          <w:p w:rsidR="00447C51" w:rsidRPr="00B34D7D" w:rsidRDefault="00447C51" w:rsidP="00A73664">
            <w:pPr>
              <w:jc w:val="center"/>
            </w:pPr>
            <w:r w:rsidRPr="00B34D7D">
              <w:t>1,4</w:t>
            </w:r>
          </w:p>
        </w:tc>
      </w:tr>
      <w:tr w:rsidR="00447C51" w:rsidRPr="00B34D7D" w:rsidTr="00A73664">
        <w:tc>
          <w:tcPr>
            <w:tcW w:w="4962" w:type="dxa"/>
          </w:tcPr>
          <w:p w:rsidR="00447C51" w:rsidRPr="00B34D7D" w:rsidRDefault="00447C51" w:rsidP="00A73664">
            <w:r w:rsidRPr="00B34D7D">
              <w:rPr>
                <w:color w:val="000000"/>
              </w:rPr>
              <w:t>Частка витрат на продовольчі товари в споживчих грошових витратах домогосподарств, відсотків</w:t>
            </w:r>
          </w:p>
        </w:tc>
        <w:tc>
          <w:tcPr>
            <w:tcW w:w="708" w:type="dxa"/>
          </w:tcPr>
          <w:p w:rsidR="00447C51" w:rsidRPr="00B34D7D" w:rsidRDefault="00447C51" w:rsidP="00A73664">
            <w:pPr>
              <w:jc w:val="center"/>
            </w:pPr>
            <w:r w:rsidRPr="00B34D7D">
              <w:t>20</w:t>
            </w:r>
          </w:p>
        </w:tc>
        <w:tc>
          <w:tcPr>
            <w:tcW w:w="709" w:type="dxa"/>
          </w:tcPr>
          <w:p w:rsidR="00447C51" w:rsidRPr="00B34D7D" w:rsidRDefault="00447C51" w:rsidP="00A73664">
            <w:pPr>
              <w:jc w:val="center"/>
            </w:pPr>
            <w:r w:rsidRPr="00B34D7D">
              <w:t>30</w:t>
            </w:r>
          </w:p>
        </w:tc>
        <w:tc>
          <w:tcPr>
            <w:tcW w:w="709" w:type="dxa"/>
          </w:tcPr>
          <w:p w:rsidR="00447C51" w:rsidRPr="00B34D7D" w:rsidRDefault="00447C51" w:rsidP="00A73664">
            <w:pPr>
              <w:jc w:val="center"/>
            </w:pPr>
            <w:r w:rsidRPr="00B34D7D">
              <w:t>40</w:t>
            </w:r>
          </w:p>
        </w:tc>
        <w:tc>
          <w:tcPr>
            <w:tcW w:w="709" w:type="dxa"/>
          </w:tcPr>
          <w:p w:rsidR="00447C51" w:rsidRPr="00B34D7D" w:rsidRDefault="00447C51" w:rsidP="00A73664">
            <w:pPr>
              <w:jc w:val="center"/>
            </w:pPr>
            <w:r w:rsidRPr="00B34D7D">
              <w:t>50</w:t>
            </w:r>
          </w:p>
        </w:tc>
        <w:tc>
          <w:tcPr>
            <w:tcW w:w="850" w:type="dxa"/>
          </w:tcPr>
          <w:p w:rsidR="00447C51" w:rsidRPr="00B34D7D" w:rsidRDefault="00447C51" w:rsidP="00A73664">
            <w:pPr>
              <w:jc w:val="center"/>
            </w:pPr>
            <w:r w:rsidRPr="00B34D7D">
              <w:t>52,9</w:t>
            </w:r>
          </w:p>
        </w:tc>
        <w:tc>
          <w:tcPr>
            <w:tcW w:w="992" w:type="dxa"/>
          </w:tcPr>
          <w:p w:rsidR="00447C51" w:rsidRPr="00B34D7D" w:rsidRDefault="00447C51" w:rsidP="00A73664">
            <w:pPr>
              <w:jc w:val="center"/>
            </w:pPr>
            <w:r w:rsidRPr="0092133C">
              <w:rPr>
                <w:color w:val="FF0000"/>
              </w:rPr>
              <w:t>54</w:t>
            </w:r>
          </w:p>
        </w:tc>
      </w:tr>
      <w:tr w:rsidR="00447C51" w:rsidRPr="00B34D7D" w:rsidTr="00A73664">
        <w:tc>
          <w:tcPr>
            <w:tcW w:w="4962" w:type="dxa"/>
          </w:tcPr>
          <w:p w:rsidR="00447C51" w:rsidRPr="00B34D7D" w:rsidRDefault="00447C51" w:rsidP="00A73664">
            <w:r w:rsidRPr="00B34D7D">
              <w:rPr>
                <w:color w:val="000000"/>
              </w:rPr>
              <w:t>Обсяг видатків зведеного бюджету на охорону здоров'я, відсотків ВВП</w:t>
            </w:r>
          </w:p>
        </w:tc>
        <w:tc>
          <w:tcPr>
            <w:tcW w:w="708" w:type="dxa"/>
          </w:tcPr>
          <w:p w:rsidR="00447C51" w:rsidRPr="00B34D7D" w:rsidRDefault="00447C51" w:rsidP="00A73664">
            <w:pPr>
              <w:jc w:val="center"/>
            </w:pPr>
            <w:r w:rsidRPr="00B34D7D">
              <w:t>7</w:t>
            </w:r>
          </w:p>
        </w:tc>
        <w:tc>
          <w:tcPr>
            <w:tcW w:w="709" w:type="dxa"/>
          </w:tcPr>
          <w:p w:rsidR="00447C51" w:rsidRPr="00B34D7D" w:rsidRDefault="00447C51" w:rsidP="00A73664">
            <w:pPr>
              <w:jc w:val="center"/>
            </w:pPr>
            <w:r w:rsidRPr="00B34D7D">
              <w:t>6,5</w:t>
            </w:r>
          </w:p>
        </w:tc>
        <w:tc>
          <w:tcPr>
            <w:tcW w:w="709" w:type="dxa"/>
          </w:tcPr>
          <w:p w:rsidR="00447C51" w:rsidRPr="00B34D7D" w:rsidRDefault="00447C51" w:rsidP="00A73664">
            <w:pPr>
              <w:jc w:val="center"/>
            </w:pPr>
            <w:r w:rsidRPr="00B34D7D">
              <w:t>5,5</w:t>
            </w:r>
          </w:p>
        </w:tc>
        <w:tc>
          <w:tcPr>
            <w:tcW w:w="709" w:type="dxa"/>
          </w:tcPr>
          <w:p w:rsidR="00447C51" w:rsidRPr="00B34D7D" w:rsidRDefault="00447C51" w:rsidP="00A73664">
            <w:pPr>
              <w:jc w:val="center"/>
            </w:pPr>
            <w:r w:rsidRPr="00B34D7D">
              <w:t>3</w:t>
            </w:r>
          </w:p>
        </w:tc>
        <w:tc>
          <w:tcPr>
            <w:tcW w:w="850" w:type="dxa"/>
          </w:tcPr>
          <w:p w:rsidR="00447C51" w:rsidRPr="00B34D7D" w:rsidRDefault="00447C51" w:rsidP="00A73664">
            <w:pPr>
              <w:jc w:val="center"/>
            </w:pPr>
            <w:r w:rsidRPr="00B34D7D">
              <w:t>3,7</w:t>
            </w:r>
          </w:p>
        </w:tc>
        <w:tc>
          <w:tcPr>
            <w:tcW w:w="992" w:type="dxa"/>
          </w:tcPr>
          <w:p w:rsidR="00447C51" w:rsidRPr="00B34D7D" w:rsidRDefault="00447C51" w:rsidP="00A73664">
            <w:pPr>
              <w:jc w:val="center"/>
            </w:pPr>
            <w:r w:rsidRPr="00B34D7D">
              <w:t>3,6</w:t>
            </w:r>
          </w:p>
        </w:tc>
      </w:tr>
      <w:tr w:rsidR="00447C51" w:rsidRPr="00B34D7D" w:rsidTr="00A73664">
        <w:tc>
          <w:tcPr>
            <w:tcW w:w="4962" w:type="dxa"/>
          </w:tcPr>
          <w:p w:rsidR="00447C51" w:rsidRPr="00B34D7D" w:rsidRDefault="00447C51" w:rsidP="00A73664">
            <w:r w:rsidRPr="00B34D7D">
              <w:rPr>
                <w:color w:val="000000"/>
              </w:rPr>
              <w:t>Чисельність ВІЛ-інфікованих осіб з діагнозом, що встановлений уперше в житті, осіб на 100 тис. осіб населення</w:t>
            </w:r>
          </w:p>
        </w:tc>
        <w:tc>
          <w:tcPr>
            <w:tcW w:w="708" w:type="dxa"/>
          </w:tcPr>
          <w:p w:rsidR="00447C51" w:rsidRPr="00B34D7D" w:rsidRDefault="00447C51" w:rsidP="00A73664">
            <w:pPr>
              <w:jc w:val="center"/>
            </w:pPr>
            <w:r w:rsidRPr="00B34D7D">
              <w:t>0</w:t>
            </w:r>
          </w:p>
        </w:tc>
        <w:tc>
          <w:tcPr>
            <w:tcW w:w="709" w:type="dxa"/>
          </w:tcPr>
          <w:p w:rsidR="00447C51" w:rsidRPr="00B34D7D" w:rsidRDefault="00447C51" w:rsidP="00A73664">
            <w:pPr>
              <w:jc w:val="center"/>
            </w:pPr>
            <w:r w:rsidRPr="00B34D7D">
              <w:t>12</w:t>
            </w:r>
          </w:p>
        </w:tc>
        <w:tc>
          <w:tcPr>
            <w:tcW w:w="709" w:type="dxa"/>
          </w:tcPr>
          <w:p w:rsidR="00447C51" w:rsidRPr="00B34D7D" w:rsidRDefault="00447C51" w:rsidP="00A73664">
            <w:pPr>
              <w:jc w:val="center"/>
            </w:pPr>
            <w:r w:rsidRPr="00B34D7D">
              <w:t>20</w:t>
            </w:r>
          </w:p>
        </w:tc>
        <w:tc>
          <w:tcPr>
            <w:tcW w:w="709" w:type="dxa"/>
          </w:tcPr>
          <w:p w:rsidR="00447C51" w:rsidRPr="00B34D7D" w:rsidRDefault="00447C51" w:rsidP="00A73664">
            <w:pPr>
              <w:jc w:val="center"/>
            </w:pPr>
            <w:r w:rsidRPr="00B34D7D">
              <w:t>30</w:t>
            </w:r>
          </w:p>
        </w:tc>
        <w:tc>
          <w:tcPr>
            <w:tcW w:w="850" w:type="dxa"/>
          </w:tcPr>
          <w:p w:rsidR="00447C51" w:rsidRPr="00B34D7D" w:rsidRDefault="00447C51" w:rsidP="00A73664">
            <w:pPr>
              <w:jc w:val="center"/>
            </w:pPr>
            <w:r w:rsidRPr="00B34D7D">
              <w:t>45,1</w:t>
            </w:r>
          </w:p>
        </w:tc>
        <w:tc>
          <w:tcPr>
            <w:tcW w:w="992" w:type="dxa"/>
          </w:tcPr>
          <w:p w:rsidR="00447C51" w:rsidRPr="00B34D7D" w:rsidRDefault="00447C51" w:rsidP="00A73664">
            <w:pPr>
              <w:jc w:val="center"/>
            </w:pPr>
            <w:r w:rsidRPr="0092133C">
              <w:rPr>
                <w:color w:val="FF0000"/>
              </w:rPr>
              <w:t>37,2</w:t>
            </w:r>
          </w:p>
        </w:tc>
      </w:tr>
      <w:tr w:rsidR="00447C51" w:rsidRPr="00B34D7D" w:rsidTr="00A73664">
        <w:tc>
          <w:tcPr>
            <w:tcW w:w="4962" w:type="dxa"/>
          </w:tcPr>
          <w:p w:rsidR="00447C51" w:rsidRPr="00B34D7D" w:rsidRDefault="00447C51" w:rsidP="00A73664">
            <w:r w:rsidRPr="00B34D7D">
              <w:rPr>
                <w:color w:val="000000"/>
              </w:rPr>
              <w:t>Чисельність хворих на активний туберкульоз із діагнозом, що встановлений уперше в житті, осіб на 100 тис. осіб населення</w:t>
            </w:r>
          </w:p>
        </w:tc>
        <w:tc>
          <w:tcPr>
            <w:tcW w:w="708" w:type="dxa"/>
          </w:tcPr>
          <w:p w:rsidR="00447C51" w:rsidRPr="00B34D7D" w:rsidRDefault="00447C51" w:rsidP="00A73664">
            <w:pPr>
              <w:jc w:val="center"/>
            </w:pPr>
            <w:r w:rsidRPr="00B34D7D">
              <w:t>0</w:t>
            </w:r>
          </w:p>
        </w:tc>
        <w:tc>
          <w:tcPr>
            <w:tcW w:w="709" w:type="dxa"/>
          </w:tcPr>
          <w:p w:rsidR="00447C51" w:rsidRPr="00B34D7D" w:rsidRDefault="00447C51" w:rsidP="00A73664">
            <w:pPr>
              <w:jc w:val="center"/>
            </w:pPr>
            <w:r w:rsidRPr="00B34D7D">
              <w:t>20</w:t>
            </w:r>
          </w:p>
        </w:tc>
        <w:tc>
          <w:tcPr>
            <w:tcW w:w="709" w:type="dxa"/>
          </w:tcPr>
          <w:p w:rsidR="00447C51" w:rsidRPr="00B34D7D" w:rsidRDefault="00447C51" w:rsidP="00A73664">
            <w:pPr>
              <w:jc w:val="center"/>
            </w:pPr>
            <w:r w:rsidRPr="00B34D7D">
              <w:t>40</w:t>
            </w:r>
          </w:p>
        </w:tc>
        <w:tc>
          <w:tcPr>
            <w:tcW w:w="709" w:type="dxa"/>
          </w:tcPr>
          <w:p w:rsidR="00447C51" w:rsidRPr="00B34D7D" w:rsidRDefault="00447C51" w:rsidP="00A73664">
            <w:pPr>
              <w:jc w:val="center"/>
            </w:pPr>
            <w:r w:rsidRPr="00B34D7D">
              <w:t>60</w:t>
            </w:r>
          </w:p>
        </w:tc>
        <w:tc>
          <w:tcPr>
            <w:tcW w:w="850" w:type="dxa"/>
          </w:tcPr>
          <w:p w:rsidR="00447C51" w:rsidRPr="00B34D7D" w:rsidRDefault="00447C51" w:rsidP="00A73664">
            <w:pPr>
              <w:jc w:val="center"/>
            </w:pPr>
            <w:r w:rsidRPr="00B34D7D">
              <w:t>59,6</w:t>
            </w:r>
          </w:p>
        </w:tc>
        <w:tc>
          <w:tcPr>
            <w:tcW w:w="992" w:type="dxa"/>
          </w:tcPr>
          <w:p w:rsidR="00447C51" w:rsidRPr="00B34D7D" w:rsidRDefault="00447C51" w:rsidP="00A73664">
            <w:pPr>
              <w:jc w:val="center"/>
            </w:pPr>
            <w:r w:rsidRPr="00B34D7D">
              <w:t>56</w:t>
            </w:r>
          </w:p>
        </w:tc>
      </w:tr>
      <w:tr w:rsidR="00447C51" w:rsidRPr="00B34D7D" w:rsidTr="00A73664">
        <w:tc>
          <w:tcPr>
            <w:tcW w:w="4962" w:type="dxa"/>
          </w:tcPr>
          <w:p w:rsidR="00447C51" w:rsidRPr="00B34D7D" w:rsidRDefault="00447C51" w:rsidP="00A73664">
            <w:r w:rsidRPr="00B34D7D">
              <w:rPr>
                <w:color w:val="000000"/>
              </w:rPr>
              <w:t>Сума невиплаченої заробітної плати станом на 1 січня (1 липня) до фонду оплати праці за грудень (червень) звітного року, відсотків</w:t>
            </w:r>
          </w:p>
        </w:tc>
        <w:tc>
          <w:tcPr>
            <w:tcW w:w="708" w:type="dxa"/>
          </w:tcPr>
          <w:p w:rsidR="00447C51" w:rsidRPr="00B34D7D" w:rsidRDefault="00447C51" w:rsidP="00A73664">
            <w:pPr>
              <w:jc w:val="center"/>
            </w:pPr>
            <w:r w:rsidRPr="00B34D7D">
              <w:t>0</w:t>
            </w:r>
          </w:p>
        </w:tc>
        <w:tc>
          <w:tcPr>
            <w:tcW w:w="709" w:type="dxa"/>
          </w:tcPr>
          <w:p w:rsidR="00447C51" w:rsidRPr="00B34D7D" w:rsidRDefault="00447C51" w:rsidP="00A73664">
            <w:pPr>
              <w:jc w:val="center"/>
            </w:pPr>
            <w:r w:rsidRPr="00B34D7D">
              <w:t>2,5</w:t>
            </w:r>
          </w:p>
        </w:tc>
        <w:tc>
          <w:tcPr>
            <w:tcW w:w="709" w:type="dxa"/>
          </w:tcPr>
          <w:p w:rsidR="00447C51" w:rsidRPr="00B34D7D" w:rsidRDefault="00447C51" w:rsidP="00A73664">
            <w:pPr>
              <w:jc w:val="center"/>
            </w:pPr>
            <w:r w:rsidRPr="00B34D7D">
              <w:t>5</w:t>
            </w:r>
          </w:p>
        </w:tc>
        <w:tc>
          <w:tcPr>
            <w:tcW w:w="709" w:type="dxa"/>
          </w:tcPr>
          <w:p w:rsidR="00447C51" w:rsidRPr="00B34D7D" w:rsidRDefault="00447C51" w:rsidP="00A73664">
            <w:pPr>
              <w:jc w:val="center"/>
            </w:pPr>
            <w:r w:rsidRPr="00B34D7D">
              <w:t>10</w:t>
            </w:r>
          </w:p>
        </w:tc>
        <w:tc>
          <w:tcPr>
            <w:tcW w:w="850" w:type="dxa"/>
          </w:tcPr>
          <w:p w:rsidR="00447C51" w:rsidRPr="00B34D7D" w:rsidRDefault="00447C51" w:rsidP="00A73664">
            <w:pPr>
              <w:jc w:val="center"/>
            </w:pPr>
            <w:r w:rsidRPr="00B34D7D">
              <w:t>7,2</w:t>
            </w:r>
          </w:p>
        </w:tc>
        <w:tc>
          <w:tcPr>
            <w:tcW w:w="992" w:type="dxa"/>
          </w:tcPr>
          <w:p w:rsidR="00447C51" w:rsidRPr="00B34D7D" w:rsidRDefault="00447C51" w:rsidP="00A73664">
            <w:pPr>
              <w:jc w:val="center"/>
            </w:pPr>
            <w:r w:rsidRPr="00B34D7D">
              <w:t>4,3</w:t>
            </w:r>
          </w:p>
        </w:tc>
      </w:tr>
      <w:tr w:rsidR="00447C51" w:rsidRPr="00B34D7D" w:rsidTr="00A73664">
        <w:tc>
          <w:tcPr>
            <w:tcW w:w="4962" w:type="dxa"/>
          </w:tcPr>
          <w:p w:rsidR="00447C51" w:rsidRPr="00B34D7D" w:rsidRDefault="00447C51" w:rsidP="00A73664">
            <w:pPr>
              <w:jc w:val="both"/>
            </w:pPr>
            <w:r w:rsidRPr="00B34D7D">
              <w:rPr>
                <w:color w:val="000000"/>
              </w:rPr>
              <w:t>Рівень злочинності (кількість злочинів на 100 тис. осіб населення)</w:t>
            </w:r>
          </w:p>
        </w:tc>
        <w:tc>
          <w:tcPr>
            <w:tcW w:w="708" w:type="dxa"/>
          </w:tcPr>
          <w:p w:rsidR="00447C51" w:rsidRPr="00B34D7D" w:rsidRDefault="00447C51" w:rsidP="00A73664">
            <w:pPr>
              <w:jc w:val="center"/>
            </w:pPr>
            <w:r w:rsidRPr="00B34D7D">
              <w:t>1000</w:t>
            </w:r>
          </w:p>
        </w:tc>
        <w:tc>
          <w:tcPr>
            <w:tcW w:w="709" w:type="dxa"/>
          </w:tcPr>
          <w:p w:rsidR="00447C51" w:rsidRPr="00B34D7D" w:rsidRDefault="00447C51" w:rsidP="00A73664">
            <w:pPr>
              <w:jc w:val="center"/>
            </w:pPr>
            <w:r w:rsidRPr="00B34D7D">
              <w:t>1200</w:t>
            </w:r>
          </w:p>
        </w:tc>
        <w:tc>
          <w:tcPr>
            <w:tcW w:w="709" w:type="dxa"/>
          </w:tcPr>
          <w:p w:rsidR="00447C51" w:rsidRPr="00B34D7D" w:rsidRDefault="00447C51" w:rsidP="00A73664">
            <w:pPr>
              <w:jc w:val="center"/>
            </w:pPr>
            <w:r w:rsidRPr="00B34D7D">
              <w:t>1300</w:t>
            </w:r>
          </w:p>
        </w:tc>
        <w:tc>
          <w:tcPr>
            <w:tcW w:w="709" w:type="dxa"/>
          </w:tcPr>
          <w:p w:rsidR="00447C51" w:rsidRPr="00B34D7D" w:rsidRDefault="00447C51" w:rsidP="00A73664">
            <w:pPr>
              <w:jc w:val="center"/>
            </w:pPr>
            <w:r w:rsidRPr="00B34D7D">
              <w:t>1400</w:t>
            </w:r>
          </w:p>
        </w:tc>
        <w:tc>
          <w:tcPr>
            <w:tcW w:w="850" w:type="dxa"/>
          </w:tcPr>
          <w:p w:rsidR="00447C51" w:rsidRPr="00B34D7D" w:rsidRDefault="00447C51" w:rsidP="00A73664">
            <w:pPr>
              <w:jc w:val="center"/>
            </w:pPr>
            <w:r w:rsidRPr="00B34D7D">
              <w:t>1233</w:t>
            </w:r>
          </w:p>
        </w:tc>
        <w:tc>
          <w:tcPr>
            <w:tcW w:w="992" w:type="dxa"/>
          </w:tcPr>
          <w:p w:rsidR="00447C51" w:rsidRPr="00B34D7D" w:rsidRDefault="00447C51" w:rsidP="00A73664">
            <w:pPr>
              <w:jc w:val="center"/>
            </w:pPr>
            <w:r w:rsidRPr="00B34D7D">
              <w:t>1322</w:t>
            </w:r>
          </w:p>
        </w:tc>
      </w:tr>
    </w:tbl>
    <w:p w:rsidR="00447C51" w:rsidRPr="004C25E3" w:rsidRDefault="00447C51" w:rsidP="00447C51">
      <w:pPr>
        <w:ind w:firstLine="284"/>
        <w:jc w:val="both"/>
        <w:rPr>
          <w:sz w:val="20"/>
          <w:szCs w:val="20"/>
        </w:rPr>
      </w:pPr>
      <w:r w:rsidRPr="004C25E3">
        <w:rPr>
          <w:sz w:val="20"/>
          <w:szCs w:val="20"/>
        </w:rPr>
        <w:t>* відповідно до наказу Міністерства економічного розвитку та торгівлі України № 1277 від 29.10.2013 р.</w:t>
      </w:r>
    </w:p>
    <w:p w:rsidR="00447C51" w:rsidRPr="00B34D7D" w:rsidRDefault="00447C51" w:rsidP="00447C51">
      <w:pPr>
        <w:spacing w:line="360" w:lineRule="auto"/>
        <w:ind w:firstLine="720"/>
        <w:jc w:val="both"/>
      </w:pPr>
    </w:p>
    <w:p w:rsidR="00447C51" w:rsidRDefault="00447C51" w:rsidP="003F5007">
      <w:pPr>
        <w:ind w:firstLine="720"/>
        <w:jc w:val="both"/>
      </w:pPr>
      <w:r w:rsidRPr="00B34D7D">
        <w:t>Із зазначеного вище, можна зробити висновок про імітацію реформ, оскільки більшість заходів, які проводяться в рамках реформування спрямовані не на підвищення соціальних показників, а на приведення їх нормативних значень до бажаних, які дозволять створити видимість «покращення».</w:t>
      </w:r>
    </w:p>
    <w:p w:rsidR="00447C51" w:rsidRPr="00B34D7D" w:rsidRDefault="00447C51" w:rsidP="003F5007">
      <w:pPr>
        <w:ind w:firstLine="720"/>
        <w:jc w:val="both"/>
      </w:pPr>
      <w:r w:rsidRPr="00B34D7D">
        <w:t>Причиною такого стану є поспішність прийняття «потрібних» законодавчих актів, без належного обгрунтування їх положень та без здійснення відповідних розрахунків для їх реалізації. Яскравим прикладом є прийнята у січні 2015 р. Стратегія сталого розвитку «Україна – 2020». Мета цього документу – «впровадження в Україні європейських стандартів життя та вихід України на провідні позиції у світі</w:t>
      </w:r>
      <w:r>
        <w:t>»</w:t>
      </w:r>
      <w:r w:rsidR="004C25E3" w:rsidRPr="004C25E3">
        <w:rPr>
          <w:lang w:val="ru-RU"/>
        </w:rPr>
        <w:t xml:space="preserve"> [</w:t>
      </w:r>
      <w:r w:rsidR="00585DB2" w:rsidRPr="00585DB2">
        <w:rPr>
          <w:lang w:val="ru-RU"/>
        </w:rPr>
        <w:t>6</w:t>
      </w:r>
      <w:r w:rsidR="004C25E3" w:rsidRPr="004C25E3">
        <w:rPr>
          <w:lang w:val="ru-RU"/>
        </w:rPr>
        <w:t>]</w:t>
      </w:r>
      <w:r w:rsidRPr="00B34D7D">
        <w:t>. Проте, очікувані результати практично не відображають мети зазначеної Стратегії. Так, серед індикаторів реалізації стратегії, які реально оціюють рівень життя є лише два показники: «середня тривалість життя людини за розрахунками Світового банку підвищиться на 3 роки», «валовий внутрішній продукт (за паритетом купівельної спроможності) у розрахунку на одну особу, який розраховує Світовий банк, підвищиться до 16 000 доларів США»</w:t>
      </w:r>
      <w:r w:rsidR="00585DB2" w:rsidRPr="00585DB2">
        <w:t xml:space="preserve"> [6]</w:t>
      </w:r>
      <w:r w:rsidRPr="00585DB2">
        <w:t>.</w:t>
      </w:r>
      <w:r w:rsidRPr="00B34D7D">
        <w:t xml:space="preserve"> Очевидно, що за цими показниками не можна визначити, чи впроваджено в Україні європейські стандарти життя чи ні. Адже рівень життя визначається за рівнем реальних доходів населення, структурою витрат домогосподарств, рівнем безробіття та рівнем економічної активності населення, рівнем освітченості, захворюваності, рівнем бідності, а також іншими показникими, що характеризують майнову забезпеченість домогосподарств, умови проживання населення та стан соціального середовища.  </w:t>
      </w:r>
    </w:p>
    <w:p w:rsidR="00447C51" w:rsidRPr="00B34D7D" w:rsidRDefault="00447C51" w:rsidP="003F5007">
      <w:pPr>
        <w:ind w:firstLine="720"/>
        <w:jc w:val="both"/>
      </w:pPr>
      <w:r w:rsidRPr="00B34D7D">
        <w:t xml:space="preserve">Відсутність цих показників серед очікуваних індикаторів реалізації стратегії можна би було пояснити наявністю ще одного індикатора, що мав би відобразити в сукупності рівень життя населення. Це показник добробуту, який запланувала розробити Україна разом із Світовим банком. Проте за два роки реалізації основного стратегічного документу країни він так і не розроблений.  </w:t>
      </w:r>
    </w:p>
    <w:p w:rsidR="00447C51" w:rsidRPr="00B34D7D" w:rsidRDefault="00447C51" w:rsidP="003F5007">
      <w:pPr>
        <w:ind w:firstLine="720"/>
        <w:jc w:val="both"/>
      </w:pPr>
      <w:r w:rsidRPr="00B34D7D">
        <w:t>Не реальними є і окремі показники, які заплановано досягти. Так при відсутності позитивних тенденцій у 2014 – 2015 рр. щодо розвитку промисловості, сільського господарства, експорту, будівельної галузі  планується майже вдвічі збільшити обсяг ВВП на душу населення. Більше того, деякі показники виписано некоректно. Зокрема, заплановано, що питома вага місцевих бюджетів становитиме не менше 65 відсотків у зведеному бюджеті держави. Але ж питому вагу місцевих бюджетів у Зведеному бюджеті держави визначають за доходами та за видатками  і їх частка не є одинаковою. Частка доходів місцевих бюджетів у загальному обсязі надходжень до Зведеному бюджету України становила у 2015 р. - , а видатків у загальному обсязі видатків - . То ж що ми плануємо досягти?</w:t>
      </w:r>
    </w:p>
    <w:p w:rsidR="00447C51" w:rsidRPr="00B34D7D" w:rsidRDefault="00447C51" w:rsidP="003F5007">
      <w:pPr>
        <w:ind w:firstLine="720"/>
        <w:jc w:val="both"/>
      </w:pPr>
      <w:r w:rsidRPr="00B34D7D">
        <w:t>Також незрозумілим є такий очікуваний результат, як оновлення кадрового складу державних службовців у правоохоронних органах, судах, інших державних органах на 70 відсотків. Адже немає гарантії, що оновлений склад службовців працюватиме краще. Очікуваними індикаторами стратегії мали б бути результати роботи, а не просто заміна одних працівників на інших. Якщо для досягнення запланованих показників потрібно змінити виконавців на 100 чи 200 відсотків, то це потрібно зробити. Проте це не повинно бути очікуваним результатом реалізації положень такого важливого документу.</w:t>
      </w:r>
    </w:p>
    <w:p w:rsidR="00447C51" w:rsidRPr="003F5007" w:rsidRDefault="00447C51" w:rsidP="003F5007">
      <w:pPr>
        <w:ind w:firstLine="720"/>
        <w:jc w:val="both"/>
      </w:pPr>
      <w:r w:rsidRPr="00B34D7D">
        <w:t>Незважаючи на критичні зауваження щодо змісту Стратегії сталого розвитку «</w:t>
      </w:r>
      <w:r w:rsidRPr="003F5007">
        <w:t>Україна – 2020» зазначений документ все ж має певні позитиви, оскільки в ньому закладено наміри української влади покращити рівень життя населення. Досягти зазначеного можна за умови усвідомлення того, що серйозні реформи - це тривала і виснажлива робота, яка потребує детального аналізу поточного стану та належного обгрунтування пріоритетних напрямів соціально-економічного розвитку. Тобто слід чітко визначити, які реформи є передумовою для проведення інших реформ.</w:t>
      </w:r>
    </w:p>
    <w:p w:rsidR="00792025" w:rsidRDefault="003F5007" w:rsidP="003F5007">
      <w:pPr>
        <w:ind w:firstLine="709"/>
        <w:jc w:val="both"/>
        <w:rPr>
          <w:rFonts w:eastAsiaTheme="minorHAnsi"/>
          <w:color w:val="000000"/>
          <w:shd w:val="clear" w:color="auto" w:fill="FFFFFF"/>
          <w:lang w:eastAsia="en-US"/>
        </w:rPr>
      </w:pPr>
      <w:r w:rsidRPr="003F5007">
        <w:rPr>
          <w:rFonts w:eastAsiaTheme="minorHAnsi"/>
          <w:color w:val="000000"/>
          <w:shd w:val="clear" w:color="auto" w:fill="FFFFFF"/>
          <w:lang w:eastAsia="en-US"/>
        </w:rPr>
        <w:t xml:space="preserve">Загалом державну соціальну політику потрібно розглядати як багаторівневу і багатофункціональну систему, яка зможе забезпечити не тільки соціальний, а й економічний розвиток країни шляхом активізації людського капіталу та максимальної реалізації його інноваційного потенціалу. </w:t>
      </w:r>
      <w:r w:rsidR="00792025">
        <w:rPr>
          <w:rFonts w:eastAsiaTheme="minorHAnsi"/>
          <w:color w:val="000000"/>
          <w:shd w:val="clear" w:color="auto" w:fill="FFFFFF"/>
          <w:lang w:eastAsia="en-US"/>
        </w:rPr>
        <w:t>Адже с</w:t>
      </w:r>
      <w:r w:rsidRPr="003F5007">
        <w:rPr>
          <w:rFonts w:eastAsiaTheme="minorHAnsi"/>
          <w:color w:val="000000"/>
          <w:shd w:val="clear" w:color="auto" w:fill="FFFFFF"/>
          <w:lang w:eastAsia="en-US"/>
        </w:rPr>
        <w:t xml:space="preserve">оціальна політика відіграє регулюючу і стимулюючу роль у забезпеченні динамічного розвитку суспільства, а також повинна забезпечити гарантовані Конституцією України права і свободи людини й громадянина. Питання щодо прав і свобод є особливо актуальними в умовах військової агресії, коли частина населення не може забезпечити себе найнеобхіднішим: одягом, харчуванням та житлом. На перший план виходить право громадян на соціальний захист:, а для учасників АТО – ще і  право на медичну допомогу, яку держава, на жаль не спроможна забезпечити навіть тим, хто отримав інвалідність, захищаючи цілісність України. З метою вдосконалення діяльності щодо утвердження та забезпечення прав і свобод людини і громадянина Президент України у серпні 2015 р. </w:t>
      </w:r>
      <w:r w:rsidR="00792025">
        <w:rPr>
          <w:rFonts w:eastAsiaTheme="minorHAnsi"/>
          <w:color w:val="000000"/>
          <w:shd w:val="clear" w:color="auto" w:fill="FFFFFF"/>
          <w:lang w:eastAsia="en-US"/>
        </w:rPr>
        <w:t>затвердив</w:t>
      </w:r>
      <w:r w:rsidRPr="003F5007">
        <w:rPr>
          <w:rFonts w:eastAsiaTheme="minorHAnsi"/>
          <w:color w:val="000000"/>
          <w:shd w:val="clear" w:color="auto" w:fill="FFFFFF"/>
          <w:lang w:eastAsia="en-US"/>
        </w:rPr>
        <w:t xml:space="preserve"> Національн</w:t>
      </w:r>
      <w:r w:rsidR="00792025">
        <w:rPr>
          <w:rFonts w:eastAsiaTheme="minorHAnsi"/>
          <w:color w:val="000000"/>
          <w:shd w:val="clear" w:color="auto" w:fill="FFFFFF"/>
          <w:lang w:eastAsia="en-US"/>
        </w:rPr>
        <w:t>у</w:t>
      </w:r>
      <w:r w:rsidRPr="003F5007">
        <w:rPr>
          <w:rFonts w:eastAsiaTheme="minorHAnsi"/>
          <w:color w:val="000000"/>
          <w:shd w:val="clear" w:color="auto" w:fill="FFFFFF"/>
          <w:lang w:eastAsia="en-US"/>
        </w:rPr>
        <w:t xml:space="preserve"> стратегі</w:t>
      </w:r>
      <w:r w:rsidR="00792025">
        <w:rPr>
          <w:rFonts w:eastAsiaTheme="minorHAnsi"/>
          <w:color w:val="000000"/>
          <w:shd w:val="clear" w:color="auto" w:fill="FFFFFF"/>
          <w:lang w:eastAsia="en-US"/>
        </w:rPr>
        <w:t>ю</w:t>
      </w:r>
      <w:r w:rsidRPr="003F5007">
        <w:rPr>
          <w:rFonts w:eastAsiaTheme="minorHAnsi"/>
          <w:color w:val="000000"/>
          <w:shd w:val="clear" w:color="auto" w:fill="FFFFFF"/>
          <w:lang w:eastAsia="en-US"/>
        </w:rPr>
        <w:t xml:space="preserve"> у сфері прав людини, яка зосереджена на вирішенні основних системних проблем у сфері захисту прав і свобод людини та нових викликах суспільства, але не вичерпує повністю пр</w:t>
      </w:r>
      <w:r w:rsidR="00792025">
        <w:rPr>
          <w:rFonts w:eastAsiaTheme="minorHAnsi"/>
          <w:color w:val="000000"/>
          <w:shd w:val="clear" w:color="auto" w:fill="FFFFFF"/>
          <w:lang w:eastAsia="en-US"/>
        </w:rPr>
        <w:t xml:space="preserve">облематики у зазначеній сфері. </w:t>
      </w:r>
    </w:p>
    <w:p w:rsidR="00DD66E5" w:rsidRPr="003F5007" w:rsidRDefault="00792025" w:rsidP="00792025">
      <w:pPr>
        <w:ind w:firstLine="709"/>
        <w:jc w:val="both"/>
        <w:rPr>
          <w:rFonts w:eastAsiaTheme="minorHAnsi"/>
          <w:color w:val="000000"/>
          <w:shd w:val="clear" w:color="auto" w:fill="FFFFFF"/>
          <w:lang w:eastAsia="en-US"/>
        </w:rPr>
      </w:pPr>
      <w:r>
        <w:rPr>
          <w:rFonts w:eastAsiaTheme="minorHAnsi"/>
          <w:color w:val="000000"/>
          <w:shd w:val="clear" w:color="auto" w:fill="FFFFFF"/>
          <w:lang w:eastAsia="en-US"/>
        </w:rPr>
        <w:t>Вважаємо, що п</w:t>
      </w:r>
      <w:r w:rsidR="003F5007" w:rsidRPr="003F5007">
        <w:rPr>
          <w:rFonts w:eastAsiaTheme="minorHAnsi"/>
          <w:color w:val="000000"/>
          <w:shd w:val="clear" w:color="auto" w:fill="FFFFFF"/>
          <w:lang w:eastAsia="en-US"/>
        </w:rPr>
        <w:t xml:space="preserve">роводячи реформи слід, в першу чергу, визначити: «А як це вплине на добробут населення? Чи дасть ця реформа певні позитивні зрушення в </w:t>
      </w:r>
      <w:commentRangeStart w:id="6"/>
      <w:r w:rsidR="003F5007" w:rsidRPr="003F5007">
        <w:rPr>
          <w:rFonts w:eastAsiaTheme="minorHAnsi"/>
          <w:color w:val="000000"/>
          <w:shd w:val="clear" w:color="auto" w:fill="FFFFFF"/>
          <w:lang w:eastAsia="en-US"/>
        </w:rPr>
        <w:t>майбутньому</w:t>
      </w:r>
      <w:commentRangeEnd w:id="6"/>
      <w:r w:rsidR="00E634AA">
        <w:rPr>
          <w:rStyle w:val="ac"/>
        </w:rPr>
        <w:commentReference w:id="6"/>
      </w:r>
      <w:r w:rsidR="003F5007" w:rsidRPr="003F5007">
        <w:rPr>
          <w:rFonts w:eastAsiaTheme="minorHAnsi"/>
          <w:color w:val="000000"/>
          <w:shd w:val="clear" w:color="auto" w:fill="FFFFFF"/>
          <w:lang w:eastAsia="en-US"/>
        </w:rPr>
        <w:t>? Населення повинне бути добре інформоване про очікувані результати реформ і хід їх проведення. Основний акцент має бути як на показниках, які характеризуватимуть позитивний вплив цих реформ так і на негативах, які слід чекати населенню. Обов’язковою умовою є зазначення терміну, коли слід очікувати покращення.</w:t>
      </w:r>
    </w:p>
    <w:p w:rsidR="00EE4966" w:rsidRPr="00B34D7D" w:rsidRDefault="00792025" w:rsidP="00792025">
      <w:pPr>
        <w:ind w:firstLine="709"/>
        <w:jc w:val="both"/>
      </w:pPr>
      <w:r>
        <w:rPr>
          <w:rFonts w:eastAsiaTheme="minorHAnsi"/>
          <w:shd w:val="clear" w:color="auto" w:fill="FFFFFF"/>
          <w:lang w:eastAsia="en-US"/>
        </w:rPr>
        <w:t>Також при підготовці реформ в</w:t>
      </w:r>
      <w:r w:rsidR="00EE4966" w:rsidRPr="00B34D7D">
        <w:t xml:space="preserve">арто пам’ятати, що соціальна політика є визначальною основою макроекономічного регулювання, оскільки реалізація її заходів впливає на низку економічних параметрів, збільшує норму споживання i зменшує нагромадження, пожвавлює сукупний попит. </w:t>
      </w:r>
    </w:p>
    <w:p w:rsidR="00D4032D" w:rsidRPr="00B34D7D" w:rsidRDefault="005C7CF6" w:rsidP="0092133C">
      <w:pPr>
        <w:ind w:firstLine="720"/>
        <w:jc w:val="both"/>
      </w:pPr>
      <w:r w:rsidRPr="00B34D7D">
        <w:rPr>
          <w:b/>
        </w:rPr>
        <w:t>Висновки</w:t>
      </w:r>
      <w:r w:rsidRPr="00B34D7D">
        <w:t>. Як свідчить дослідження</w:t>
      </w:r>
      <w:r w:rsidR="00792025">
        <w:t>,</w:t>
      </w:r>
      <w:r w:rsidRPr="00B34D7D">
        <w:t xml:space="preserve"> у соціальній сфері в Україні накопилась низка проблем системного характеру, що мають значний вплив</w:t>
      </w:r>
      <w:commentRangeStart w:id="7"/>
      <w:r w:rsidRPr="00B34D7D">
        <w:t xml:space="preserve"> </w:t>
      </w:r>
      <w:commentRangeEnd w:id="7"/>
      <w:r w:rsidR="00E634AA">
        <w:rPr>
          <w:rStyle w:val="ac"/>
        </w:rPr>
        <w:commentReference w:id="7"/>
      </w:r>
      <w:r w:rsidR="00307BFD">
        <w:t xml:space="preserve">на </w:t>
      </w:r>
      <w:r w:rsidR="00792025">
        <w:t xml:space="preserve">економічний розвиток держави та </w:t>
      </w:r>
      <w:r w:rsidRPr="00B34D7D">
        <w:t xml:space="preserve">на визначення стратегічних орієнтирів соціальної політики. До основних слід віднести: </w:t>
      </w:r>
      <w:r w:rsidR="00213C4A" w:rsidRPr="00B34D7D">
        <w:t>зниження реальних доходів населення, поширення бідності серед працюючого населення, невідповідність розмірів соціальних стандартів і гарантій реаліям життя; поспіх у проведенні реформ, що негативно відображається на якості прийнятих документів; незабезпеченість фінансовими ресурсами всіх затверджених законодавчими актами заходів у сфері соціального захисту населення</w:t>
      </w:r>
      <w:r w:rsidR="00D4032D" w:rsidRPr="00B34D7D">
        <w:t>;</w:t>
      </w:r>
      <w:r w:rsidR="00213C4A" w:rsidRPr="00B34D7D">
        <w:t xml:space="preserve"> вкрай низький рівень фінансового забезпечення галузі охорони здоров’я</w:t>
      </w:r>
      <w:r w:rsidR="00D4032D" w:rsidRPr="00B34D7D">
        <w:t>; високий рівень безробіття та інші.</w:t>
      </w:r>
    </w:p>
    <w:p w:rsidR="00D4032D" w:rsidRPr="00B34D7D" w:rsidRDefault="00D4032D" w:rsidP="0092133C">
      <w:pPr>
        <w:ind w:firstLine="720"/>
        <w:jc w:val="both"/>
      </w:pPr>
      <w:r w:rsidRPr="00B34D7D">
        <w:t>Наявні проблеми посилюються новими викликами у сфері соціальної політики України, серед яких: спроможність влади проводити ефективні ре</w:t>
      </w:r>
      <w:r w:rsidR="000E4CDC">
        <w:t>ф</w:t>
      </w:r>
      <w:r w:rsidRPr="00B34D7D">
        <w:t>орми у всіх сферах суспільного життя та національної економіки; подолання корупції та відновлення довіри населення до державних інституцій.</w:t>
      </w:r>
    </w:p>
    <w:p w:rsidR="00D4032D" w:rsidRPr="00E172E4" w:rsidRDefault="00D4032D" w:rsidP="0092133C">
      <w:pPr>
        <w:ind w:firstLine="720"/>
        <w:jc w:val="both"/>
        <w:rPr>
          <w:lang w:val="ru-RU"/>
        </w:rPr>
      </w:pPr>
      <w:r w:rsidRPr="00B34D7D">
        <w:t xml:space="preserve">Тому визначаючи стратегічні напрями розвитку держави в основу слід ставити стратегічну мету – підвищення добробуту населення, а також основні цілі соціальної політики держави, серед яких: підвищення рівня і якості життя населення, збільшення його тривалості; зміцнення здоров’я громадян, підвищення якості й ефективності надання медико-санітарної допомоги; зниження рівня безробіття; підвищення стандартів оплати праці;  підвищення ефективності системи регулювання соціальної відповідальності суб’єктів. Також в основу визначення пріоритетних напрямів має бути покладено </w:t>
      </w:r>
      <w:r w:rsidR="00307BFD" w:rsidRPr="00307BFD">
        <w:t xml:space="preserve">розв’язання </w:t>
      </w:r>
      <w:r w:rsidRPr="00B34D7D">
        <w:t>проблем, які становлять реальну загрозу національній безпеці держави.</w:t>
      </w:r>
    </w:p>
    <w:p w:rsidR="004C25E3" w:rsidRPr="00E172E4" w:rsidRDefault="004C25E3" w:rsidP="0092133C">
      <w:pPr>
        <w:ind w:firstLine="720"/>
        <w:jc w:val="both"/>
        <w:rPr>
          <w:lang w:val="ru-RU"/>
        </w:rPr>
      </w:pPr>
    </w:p>
    <w:p w:rsidR="004C25E3" w:rsidRDefault="004C25E3" w:rsidP="004C25E3">
      <w:pPr>
        <w:ind w:firstLine="720"/>
        <w:jc w:val="both"/>
        <w:rPr>
          <w:b/>
        </w:rPr>
      </w:pPr>
      <w:r>
        <w:rPr>
          <w:b/>
        </w:rPr>
        <w:t>Література</w:t>
      </w:r>
    </w:p>
    <w:p w:rsidR="004C25E3" w:rsidRPr="004C25E3" w:rsidRDefault="004C25E3" w:rsidP="004C25E3">
      <w:pPr>
        <w:ind w:firstLine="720"/>
        <w:jc w:val="both"/>
        <w:rPr>
          <w:b/>
        </w:rPr>
      </w:pPr>
    </w:p>
    <w:p w:rsidR="004C25E3" w:rsidRDefault="004C25E3" w:rsidP="004C25E3">
      <w:pPr>
        <w:ind w:firstLine="720"/>
        <w:jc w:val="both"/>
      </w:pPr>
      <w:r>
        <w:t>1.</w:t>
      </w:r>
      <w:r>
        <w:tab/>
        <w:t>Аналітична доповідь Національного інституту стратегічних досліджень до позачергового Послання Президента України до Верховної Ради України «Про внутрішнє та зовнішнє становище України у сфері національної безпеки». – К. : НІСД, 2014. – 148 с.</w:t>
      </w:r>
    </w:p>
    <w:p w:rsidR="004C25E3" w:rsidRDefault="004C25E3" w:rsidP="004C25E3">
      <w:pPr>
        <w:ind w:firstLine="720"/>
        <w:jc w:val="both"/>
      </w:pPr>
      <w:r>
        <w:t>2.</w:t>
      </w:r>
      <w:r>
        <w:tab/>
        <w:t>Витрати і ресурси домогосподарств України (за даними вибіркового обстеження умов життя домогосподарств України): статистичні бюлетні (у 4 кварталі 2014 р.; 1 кварталі 2015 р.; у 2 кварталі 2015 р.; у 3 кварталі 2015 р.; у 4 кварталі 2015 р.; у 1 кварталі 2016 р.) [Електронний ресурс] – Режим доступу: www.ukrstat.gov.ua (розділ Публікації);</w:t>
      </w:r>
    </w:p>
    <w:p w:rsidR="004C25E3" w:rsidRDefault="004C25E3" w:rsidP="004C25E3">
      <w:pPr>
        <w:ind w:firstLine="720"/>
        <w:jc w:val="both"/>
      </w:pPr>
      <w:r>
        <w:t>3.</w:t>
      </w:r>
      <w:r>
        <w:tab/>
        <w:t>2015-й: політичні підсумки - думка населення: соціологічне опитування (29 грудня 2015 р) Фонду «Демократичні ініціативи імені Ілька Кучеріва» та Київського міжнародного інституту соціології [Електронний ресурс] . - Режим доступу: http://www.dif.org.ua/ua/polls/</w:t>
      </w:r>
    </w:p>
    <w:p w:rsidR="004C25E3" w:rsidRDefault="004C25E3" w:rsidP="004C25E3">
      <w:pPr>
        <w:ind w:firstLine="720"/>
        <w:jc w:val="both"/>
      </w:pPr>
      <w:r>
        <w:t>4.</w:t>
      </w:r>
      <w:r>
        <w:tab/>
        <w:t>Звітність про виконання бюджетів. Державна казначейська служба України // [Електронний ресурс]. – Режим доступу : http://www.treasury.gov.ua</w:t>
      </w:r>
    </w:p>
    <w:p w:rsidR="004C25E3" w:rsidRDefault="004C25E3" w:rsidP="004C25E3">
      <w:pPr>
        <w:ind w:firstLine="720"/>
        <w:jc w:val="both"/>
      </w:pPr>
      <w:r>
        <w:t>5.</w:t>
      </w:r>
      <w:r>
        <w:tab/>
        <w:t>Методика розрахунку рівня економічної безпеки України, затверджена наказом Мінекономіки України № 60 від 2.03.2007 р. [Електронний ресурс]: Режим доступу: me.kmu.gov.ua/control/uk/publish/article?art_id</w:t>
      </w:r>
    </w:p>
    <w:p w:rsidR="004C25E3" w:rsidRDefault="004C25E3" w:rsidP="004C25E3">
      <w:pPr>
        <w:ind w:firstLine="720"/>
        <w:jc w:val="both"/>
      </w:pPr>
      <w:r>
        <w:t>6.</w:t>
      </w:r>
      <w:r>
        <w:tab/>
        <w:t>Про затвердження Методичних рекомендацій щодо розрахунку рівня економічної безпеки України № 1277 від 29.10.2013 р. [Електронний ресурс]: Режим доступу: http://search.ligazakon.ua/l_doc2.nsf/link1/ME131588.html</w:t>
      </w:r>
    </w:p>
    <w:p w:rsidR="005C7CF6" w:rsidRPr="00B34D7D" w:rsidRDefault="004C25E3" w:rsidP="004C25E3">
      <w:pPr>
        <w:ind w:firstLine="720"/>
        <w:jc w:val="both"/>
      </w:pPr>
      <w:r>
        <w:t>7.</w:t>
      </w:r>
      <w:r>
        <w:tab/>
        <w:t>Про Стратегію сталого розвитку «Україна – 2020» [Електронний ресурс]: Указ Президента України № 5 від 12.01.2015. – Режим доступу: http://zakon3.rada.gov.ua/laws/show/5/2015</w:t>
      </w:r>
    </w:p>
    <w:sectPr w:rsidR="005C7CF6" w:rsidRPr="00B34D7D" w:rsidSect="00D4032D">
      <w:pgSz w:w="11906" w:h="16838"/>
      <w:pgMar w:top="1134" w:right="1134" w:bottom="1134" w:left="1134"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C" w:date="2016-10-12T17:30:00Z" w:initials="P">
    <w:p w:rsidR="003A4A46" w:rsidRDefault="003A4A46">
      <w:pPr>
        <w:pStyle w:val="ad"/>
      </w:pPr>
      <w:r>
        <w:rPr>
          <w:rStyle w:val="ac"/>
        </w:rPr>
        <w:annotationRef/>
      </w:r>
      <w:r>
        <w:t>Із заробітної плати</w:t>
      </w:r>
    </w:p>
  </w:comment>
  <w:comment w:id="2" w:author="PC" w:date="2016-10-12T17:35:00Z" w:initials="P">
    <w:p w:rsidR="003A4A46" w:rsidRDefault="003A4A46">
      <w:pPr>
        <w:pStyle w:val="ad"/>
      </w:pPr>
      <w:r>
        <w:rPr>
          <w:rStyle w:val="ac"/>
        </w:rPr>
        <w:annotationRef/>
      </w:r>
      <w:r>
        <w:t>До зниження</w:t>
      </w:r>
    </w:p>
  </w:comment>
  <w:comment w:id="3" w:author="PC" w:date="2016-10-12T17:39:00Z" w:initials="P">
    <w:p w:rsidR="003A4A46" w:rsidRDefault="003A4A46">
      <w:pPr>
        <w:pStyle w:val="ad"/>
      </w:pPr>
      <w:r>
        <w:rPr>
          <w:rStyle w:val="ac"/>
        </w:rPr>
        <w:annotationRef/>
      </w:r>
      <w:r>
        <w:t>Нижчими від чого?</w:t>
      </w:r>
    </w:p>
  </w:comment>
  <w:comment w:id="4" w:author="PC" w:date="2016-10-12T17:57:00Z" w:initials="P">
    <w:p w:rsidR="003A4A46" w:rsidRDefault="003A4A46">
      <w:pPr>
        <w:pStyle w:val="ad"/>
      </w:pPr>
      <w:r>
        <w:rPr>
          <w:rStyle w:val="ac"/>
        </w:rPr>
        <w:annotationRef/>
      </w:r>
      <w:r>
        <w:t>швидшими</w:t>
      </w:r>
    </w:p>
  </w:comment>
  <w:comment w:id="5" w:author="PC" w:date="2016-10-12T19:44:00Z" w:initials="P">
    <w:p w:rsidR="003A4A46" w:rsidRDefault="003A4A46">
      <w:pPr>
        <w:pStyle w:val="ad"/>
      </w:pPr>
      <w:r>
        <w:rPr>
          <w:rStyle w:val="ac"/>
        </w:rPr>
        <w:annotationRef/>
      </w:r>
      <w:r>
        <w:t>доцільно додати одиниці виміру показників</w:t>
      </w:r>
    </w:p>
  </w:comment>
  <w:comment w:id="6" w:author="PC" w:date="2016-10-12T20:03:00Z" w:initials="P">
    <w:p w:rsidR="003A4A46" w:rsidRDefault="003A4A46">
      <w:pPr>
        <w:pStyle w:val="ad"/>
      </w:pPr>
      <w:r>
        <w:rPr>
          <w:rStyle w:val="ac"/>
        </w:rPr>
        <w:annotationRef/>
      </w:r>
      <w:r>
        <w:t>»</w:t>
      </w:r>
    </w:p>
  </w:comment>
  <w:comment w:id="7" w:author="PC" w:date="2016-10-12T20:04:00Z" w:initials="P">
    <w:p w:rsidR="003A4A46" w:rsidRDefault="003A4A46">
      <w:pPr>
        <w:pStyle w:val="ad"/>
      </w:pPr>
      <w:r>
        <w:rPr>
          <w:rStyle w:val="ac"/>
        </w:rPr>
        <w:annotationRef/>
      </w:r>
      <w:r>
        <w:t>на</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220" w:rsidRDefault="00D41220" w:rsidP="00C77F33">
      <w:r>
        <w:separator/>
      </w:r>
    </w:p>
  </w:endnote>
  <w:endnote w:type="continuationSeparator" w:id="0">
    <w:p w:rsidR="00D41220" w:rsidRDefault="00D41220" w:rsidP="00C77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220" w:rsidRDefault="00D41220" w:rsidP="00C77F33">
      <w:r>
        <w:separator/>
      </w:r>
    </w:p>
  </w:footnote>
  <w:footnote w:type="continuationSeparator" w:id="0">
    <w:p w:rsidR="00D41220" w:rsidRDefault="00D41220" w:rsidP="00C77F33">
      <w:r>
        <w:continuationSeparator/>
      </w:r>
    </w:p>
  </w:footnote>
  <w:footnote w:id="1">
    <w:p w:rsidR="003A4A46" w:rsidRPr="00A2183B" w:rsidRDefault="003A4A46" w:rsidP="00955A0F">
      <w:pPr>
        <w:pStyle w:val="a6"/>
        <w:jc w:val="both"/>
        <w:rPr>
          <w:lang w:val="ru-RU"/>
        </w:rPr>
      </w:pPr>
      <w:r>
        <w:rPr>
          <w:rStyle w:val="a8"/>
        </w:rPr>
        <w:footnoteRef/>
      </w:r>
      <w:r>
        <w:t xml:space="preserve"> </w:t>
      </w:r>
      <w:r w:rsidRPr="00C77F33">
        <w:t>без частини зони проведення антитерористичної операції</w:t>
      </w:r>
      <w:r w:rsidR="00A2183B">
        <w:rPr>
          <w:lang w:val="ru-RU"/>
        </w:rPr>
        <w:t xml:space="preserve"> </w:t>
      </w:r>
      <w:r w:rsidR="00A2183B" w:rsidRPr="00A2183B">
        <w:rPr>
          <w:lang w:val="ru-RU"/>
        </w:rPr>
        <w:t>[http://www.ukrstat.gov.ua</w:t>
      </w:r>
      <w:r w:rsidR="00A2183B">
        <w:rPr>
          <w:lang w:val="ru-RU"/>
        </w:rPr>
        <w:t xml:space="preserve"> (</w:t>
      </w:r>
      <w:proofErr w:type="spellStart"/>
      <w:r w:rsidR="00A2183B">
        <w:rPr>
          <w:lang w:val="ru-RU"/>
        </w:rPr>
        <w:t>розділ</w:t>
      </w:r>
      <w:proofErr w:type="spellEnd"/>
      <w:r w:rsidR="00A2183B">
        <w:rPr>
          <w:lang w:val="ru-RU"/>
        </w:rPr>
        <w:t xml:space="preserve"> «</w:t>
      </w:r>
      <w:proofErr w:type="spellStart"/>
      <w:r w:rsidR="00A2183B">
        <w:rPr>
          <w:lang w:val="ru-RU"/>
        </w:rPr>
        <w:t>Експрес-випуски</w:t>
      </w:r>
      <w:proofErr w:type="spellEnd"/>
      <w:r w:rsidR="00A2183B">
        <w:rPr>
          <w:lang w:val="ru-RU"/>
        </w:rPr>
        <w:t>)</w:t>
      </w:r>
      <w:r w:rsidR="00A2183B" w:rsidRPr="00A2183B">
        <w:rPr>
          <w:lang w:val="ru-RU"/>
        </w:rPr>
        <w:t>]</w:t>
      </w:r>
    </w:p>
  </w:footnote>
  <w:footnote w:id="2">
    <w:p w:rsidR="003A4A46" w:rsidRDefault="003A4A46">
      <w:pPr>
        <w:pStyle w:val="a6"/>
      </w:pPr>
      <w:r>
        <w:rPr>
          <w:rStyle w:val="a8"/>
        </w:rPr>
        <w:footnoteRef/>
      </w:r>
      <w:r>
        <w:t xml:space="preserve"> Межею бідності вважаємо розмір фактичного прожиткового мінімуму, що розраховує Міністерство соціальної політики України</w:t>
      </w:r>
    </w:p>
  </w:footnote>
  <w:footnote w:id="3">
    <w:p w:rsidR="003A4A46" w:rsidRDefault="003A4A46" w:rsidP="00423453">
      <w:pPr>
        <w:pStyle w:val="a6"/>
        <w:jc w:val="both"/>
      </w:pPr>
      <w:r>
        <w:rPr>
          <w:rStyle w:val="a8"/>
        </w:rPr>
        <w:footnoteRef/>
      </w:r>
      <w:r>
        <w:t xml:space="preserve"> Станом на 01.01.2016 р. офіційно затверджений розмір прожиткового мінімуму для працездатної особи та мінімальної заробітної плати становить 1378 грн., а фактичний розмір прожиткового мінімуму в цінах січня 2016 р. , розрахований Міністерством соціальної політики – 2880 грн.</w:t>
      </w:r>
    </w:p>
  </w:footnote>
  <w:footnote w:id="4">
    <w:p w:rsidR="003A4A46" w:rsidRDefault="003A4A46" w:rsidP="00616F5F">
      <w:pPr>
        <w:pStyle w:val="a6"/>
      </w:pPr>
      <w:r>
        <w:rPr>
          <w:rStyle w:val="a8"/>
        </w:rPr>
        <w:footnoteRef/>
      </w:r>
      <w:r>
        <w:t xml:space="preserve"> Середній розмір субсидії на одне домогосподарство у 1 кварталі 2016 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A6D7A"/>
    <w:multiLevelType w:val="hybridMultilevel"/>
    <w:tmpl w:val="ABB4A1E4"/>
    <w:lvl w:ilvl="0" w:tplc="D43E097E">
      <w:start w:val="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B662A7D"/>
    <w:multiLevelType w:val="hybridMultilevel"/>
    <w:tmpl w:val="CCEE5DEA"/>
    <w:lvl w:ilvl="0" w:tplc="4C6E8F8E">
      <w:start w:val="2013"/>
      <w:numFmt w:val="bullet"/>
      <w:lvlText w:val=""/>
      <w:lvlJc w:val="left"/>
      <w:pPr>
        <w:ind w:left="1080" w:hanging="360"/>
      </w:pPr>
      <w:rPr>
        <w:rFonts w:ascii="Symbol" w:eastAsia="Times New Roman" w:hAnsi="Symbol"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3A5917FF"/>
    <w:multiLevelType w:val="hybridMultilevel"/>
    <w:tmpl w:val="A53A0B20"/>
    <w:lvl w:ilvl="0" w:tplc="01DE09F6">
      <w:start w:val="2013"/>
      <w:numFmt w:val="bullet"/>
      <w:lvlText w:val=""/>
      <w:lvlJc w:val="left"/>
      <w:pPr>
        <w:ind w:left="1080" w:hanging="360"/>
      </w:pPr>
      <w:rPr>
        <w:rFonts w:ascii="Symbol" w:eastAsia="Times New Roman" w:hAnsi="Symbol"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428F3298"/>
    <w:multiLevelType w:val="hybridMultilevel"/>
    <w:tmpl w:val="7128945A"/>
    <w:lvl w:ilvl="0" w:tplc="6BB0C3F6">
      <w:start w:val="2013"/>
      <w:numFmt w:val="bullet"/>
      <w:lvlText w:val=""/>
      <w:lvlJc w:val="left"/>
      <w:pPr>
        <w:ind w:left="1068" w:hanging="360"/>
      </w:pPr>
      <w:rPr>
        <w:rFonts w:ascii="Symbol" w:eastAsia="Times New Roman" w:hAnsi="Symbol"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
    <w:nsid w:val="6CAF3FFD"/>
    <w:multiLevelType w:val="hybridMultilevel"/>
    <w:tmpl w:val="EE0863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7A207D64"/>
    <w:multiLevelType w:val="hybridMultilevel"/>
    <w:tmpl w:val="3B6871C6"/>
    <w:lvl w:ilvl="0" w:tplc="19368CE8">
      <w:start w:val="1"/>
      <w:numFmt w:val="bullet"/>
      <w:lvlText w:val=""/>
      <w:lvlJc w:val="left"/>
      <w:pPr>
        <w:ind w:left="1080" w:hanging="360"/>
      </w:pPr>
      <w:rPr>
        <w:rFonts w:ascii="Symbol" w:eastAsia="Times New Roman" w:hAnsi="Symbol"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revisionView w:markup="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1CD"/>
    <w:rsid w:val="00003FFB"/>
    <w:rsid w:val="00007879"/>
    <w:rsid w:val="00035886"/>
    <w:rsid w:val="0005516D"/>
    <w:rsid w:val="000648DC"/>
    <w:rsid w:val="000855AF"/>
    <w:rsid w:val="0009062B"/>
    <w:rsid w:val="000A47B3"/>
    <w:rsid w:val="000A6134"/>
    <w:rsid w:val="000B25DF"/>
    <w:rsid w:val="000B3C42"/>
    <w:rsid w:val="000B70C5"/>
    <w:rsid w:val="000C3183"/>
    <w:rsid w:val="000C68A7"/>
    <w:rsid w:val="000D29EC"/>
    <w:rsid w:val="000E4CDC"/>
    <w:rsid w:val="000F01B3"/>
    <w:rsid w:val="000F22A4"/>
    <w:rsid w:val="000F3FBC"/>
    <w:rsid w:val="00122370"/>
    <w:rsid w:val="00150150"/>
    <w:rsid w:val="001606C9"/>
    <w:rsid w:val="00167FFD"/>
    <w:rsid w:val="00192FF5"/>
    <w:rsid w:val="001B3CED"/>
    <w:rsid w:val="001B4259"/>
    <w:rsid w:val="001B65DD"/>
    <w:rsid w:val="001C3102"/>
    <w:rsid w:val="001C46BA"/>
    <w:rsid w:val="001C5DC1"/>
    <w:rsid w:val="001C659B"/>
    <w:rsid w:val="001E4BC2"/>
    <w:rsid w:val="002132D7"/>
    <w:rsid w:val="00213C4A"/>
    <w:rsid w:val="002553DB"/>
    <w:rsid w:val="00262C26"/>
    <w:rsid w:val="00264998"/>
    <w:rsid w:val="00297E58"/>
    <w:rsid w:val="002A4210"/>
    <w:rsid w:val="002C3B1D"/>
    <w:rsid w:val="002C782E"/>
    <w:rsid w:val="002D1FC2"/>
    <w:rsid w:val="002E6ECB"/>
    <w:rsid w:val="002F32AD"/>
    <w:rsid w:val="002F4C33"/>
    <w:rsid w:val="002F7198"/>
    <w:rsid w:val="00301D14"/>
    <w:rsid w:val="00307BFD"/>
    <w:rsid w:val="00307DA5"/>
    <w:rsid w:val="00313506"/>
    <w:rsid w:val="00335301"/>
    <w:rsid w:val="003356F3"/>
    <w:rsid w:val="00340C03"/>
    <w:rsid w:val="00357F7F"/>
    <w:rsid w:val="0036522E"/>
    <w:rsid w:val="003714C7"/>
    <w:rsid w:val="00371BB6"/>
    <w:rsid w:val="003776C9"/>
    <w:rsid w:val="003A07F5"/>
    <w:rsid w:val="003A4A46"/>
    <w:rsid w:val="003A6692"/>
    <w:rsid w:val="003B3FA6"/>
    <w:rsid w:val="003C0B72"/>
    <w:rsid w:val="003C601C"/>
    <w:rsid w:val="003D53C9"/>
    <w:rsid w:val="003E313E"/>
    <w:rsid w:val="003F5007"/>
    <w:rsid w:val="003F6776"/>
    <w:rsid w:val="0040445D"/>
    <w:rsid w:val="00411CC1"/>
    <w:rsid w:val="004160B3"/>
    <w:rsid w:val="0042242F"/>
    <w:rsid w:val="00423453"/>
    <w:rsid w:val="00430707"/>
    <w:rsid w:val="00442269"/>
    <w:rsid w:val="00447C51"/>
    <w:rsid w:val="00450F41"/>
    <w:rsid w:val="00451878"/>
    <w:rsid w:val="00455EFE"/>
    <w:rsid w:val="0046085E"/>
    <w:rsid w:val="00462D8D"/>
    <w:rsid w:val="004665EB"/>
    <w:rsid w:val="00467E1E"/>
    <w:rsid w:val="00481124"/>
    <w:rsid w:val="00481824"/>
    <w:rsid w:val="00487CC8"/>
    <w:rsid w:val="00492728"/>
    <w:rsid w:val="004A4EF8"/>
    <w:rsid w:val="004A782E"/>
    <w:rsid w:val="004B7D9A"/>
    <w:rsid w:val="004C25E3"/>
    <w:rsid w:val="004C4F4E"/>
    <w:rsid w:val="004C7650"/>
    <w:rsid w:val="004D29D8"/>
    <w:rsid w:val="004D3B15"/>
    <w:rsid w:val="004D4680"/>
    <w:rsid w:val="004D70C1"/>
    <w:rsid w:val="004D7110"/>
    <w:rsid w:val="004F2949"/>
    <w:rsid w:val="004F3C7F"/>
    <w:rsid w:val="00504BF5"/>
    <w:rsid w:val="00544B8A"/>
    <w:rsid w:val="005455BD"/>
    <w:rsid w:val="00545B22"/>
    <w:rsid w:val="00553DFA"/>
    <w:rsid w:val="005637C8"/>
    <w:rsid w:val="00585DB2"/>
    <w:rsid w:val="00587BCA"/>
    <w:rsid w:val="00596DA2"/>
    <w:rsid w:val="005A3224"/>
    <w:rsid w:val="005A5625"/>
    <w:rsid w:val="005A7AC1"/>
    <w:rsid w:val="005C7CF6"/>
    <w:rsid w:val="00616F5F"/>
    <w:rsid w:val="00622CDA"/>
    <w:rsid w:val="006237EA"/>
    <w:rsid w:val="006314E6"/>
    <w:rsid w:val="0063472A"/>
    <w:rsid w:val="006418AC"/>
    <w:rsid w:val="006561F5"/>
    <w:rsid w:val="00664347"/>
    <w:rsid w:val="00665F54"/>
    <w:rsid w:val="00683C73"/>
    <w:rsid w:val="00692EC1"/>
    <w:rsid w:val="00696954"/>
    <w:rsid w:val="006A3201"/>
    <w:rsid w:val="006A3BC5"/>
    <w:rsid w:val="006D03A7"/>
    <w:rsid w:val="006D550E"/>
    <w:rsid w:val="006E146E"/>
    <w:rsid w:val="006E4242"/>
    <w:rsid w:val="006F471E"/>
    <w:rsid w:val="00704AAB"/>
    <w:rsid w:val="00705B56"/>
    <w:rsid w:val="00747C78"/>
    <w:rsid w:val="007519E4"/>
    <w:rsid w:val="00756A9F"/>
    <w:rsid w:val="00760815"/>
    <w:rsid w:val="00792025"/>
    <w:rsid w:val="007A6CC1"/>
    <w:rsid w:val="007F5622"/>
    <w:rsid w:val="00803FD4"/>
    <w:rsid w:val="00804E9E"/>
    <w:rsid w:val="00807094"/>
    <w:rsid w:val="00807519"/>
    <w:rsid w:val="00814CBF"/>
    <w:rsid w:val="00820953"/>
    <w:rsid w:val="008224DF"/>
    <w:rsid w:val="008300B4"/>
    <w:rsid w:val="008408CE"/>
    <w:rsid w:val="00886C09"/>
    <w:rsid w:val="00896678"/>
    <w:rsid w:val="008B17BF"/>
    <w:rsid w:val="008C578A"/>
    <w:rsid w:val="008E00FC"/>
    <w:rsid w:val="008E0492"/>
    <w:rsid w:val="008E5E0E"/>
    <w:rsid w:val="008F0139"/>
    <w:rsid w:val="00905583"/>
    <w:rsid w:val="0091620B"/>
    <w:rsid w:val="0092133C"/>
    <w:rsid w:val="009232F7"/>
    <w:rsid w:val="00930E93"/>
    <w:rsid w:val="0093274C"/>
    <w:rsid w:val="00933A84"/>
    <w:rsid w:val="00934B7A"/>
    <w:rsid w:val="00937FAC"/>
    <w:rsid w:val="009440BC"/>
    <w:rsid w:val="00947EE9"/>
    <w:rsid w:val="00955A0F"/>
    <w:rsid w:val="00977109"/>
    <w:rsid w:val="00983B2F"/>
    <w:rsid w:val="009B7AC8"/>
    <w:rsid w:val="009C2324"/>
    <w:rsid w:val="009C7DBE"/>
    <w:rsid w:val="009D2D64"/>
    <w:rsid w:val="009E0330"/>
    <w:rsid w:val="009E5BD7"/>
    <w:rsid w:val="00A114B7"/>
    <w:rsid w:val="00A17A74"/>
    <w:rsid w:val="00A2183B"/>
    <w:rsid w:val="00A23682"/>
    <w:rsid w:val="00A25AD3"/>
    <w:rsid w:val="00A33D51"/>
    <w:rsid w:val="00A34898"/>
    <w:rsid w:val="00A34972"/>
    <w:rsid w:val="00A3632C"/>
    <w:rsid w:val="00A37C9F"/>
    <w:rsid w:val="00A54105"/>
    <w:rsid w:val="00A65D2B"/>
    <w:rsid w:val="00A6603D"/>
    <w:rsid w:val="00A73664"/>
    <w:rsid w:val="00A7790E"/>
    <w:rsid w:val="00A77F86"/>
    <w:rsid w:val="00A96333"/>
    <w:rsid w:val="00AA28D1"/>
    <w:rsid w:val="00AB7931"/>
    <w:rsid w:val="00AD5D28"/>
    <w:rsid w:val="00AE3347"/>
    <w:rsid w:val="00AF1EE3"/>
    <w:rsid w:val="00B2080C"/>
    <w:rsid w:val="00B318A2"/>
    <w:rsid w:val="00B324E1"/>
    <w:rsid w:val="00B34D7D"/>
    <w:rsid w:val="00B462E0"/>
    <w:rsid w:val="00B56435"/>
    <w:rsid w:val="00B66BEE"/>
    <w:rsid w:val="00B9212D"/>
    <w:rsid w:val="00BD2265"/>
    <w:rsid w:val="00BE546D"/>
    <w:rsid w:val="00BF5748"/>
    <w:rsid w:val="00BF69A0"/>
    <w:rsid w:val="00BF77F4"/>
    <w:rsid w:val="00C10D9A"/>
    <w:rsid w:val="00C2677D"/>
    <w:rsid w:val="00C44641"/>
    <w:rsid w:val="00C46D99"/>
    <w:rsid w:val="00C522F0"/>
    <w:rsid w:val="00C54210"/>
    <w:rsid w:val="00C77F33"/>
    <w:rsid w:val="00C841AC"/>
    <w:rsid w:val="00C929BF"/>
    <w:rsid w:val="00CA0480"/>
    <w:rsid w:val="00CA5F80"/>
    <w:rsid w:val="00CD52E6"/>
    <w:rsid w:val="00CE1F15"/>
    <w:rsid w:val="00CE2503"/>
    <w:rsid w:val="00CE5D15"/>
    <w:rsid w:val="00CF1D8D"/>
    <w:rsid w:val="00D0488F"/>
    <w:rsid w:val="00D15419"/>
    <w:rsid w:val="00D1740A"/>
    <w:rsid w:val="00D20248"/>
    <w:rsid w:val="00D232F7"/>
    <w:rsid w:val="00D25756"/>
    <w:rsid w:val="00D4032D"/>
    <w:rsid w:val="00D41220"/>
    <w:rsid w:val="00D54CAF"/>
    <w:rsid w:val="00D55B71"/>
    <w:rsid w:val="00D77B88"/>
    <w:rsid w:val="00D82C16"/>
    <w:rsid w:val="00D864BC"/>
    <w:rsid w:val="00D91C65"/>
    <w:rsid w:val="00D921CD"/>
    <w:rsid w:val="00D92DE2"/>
    <w:rsid w:val="00D966ED"/>
    <w:rsid w:val="00D97ECE"/>
    <w:rsid w:val="00DA28CD"/>
    <w:rsid w:val="00DA33BF"/>
    <w:rsid w:val="00DB278B"/>
    <w:rsid w:val="00DC3B26"/>
    <w:rsid w:val="00DC550E"/>
    <w:rsid w:val="00DC5759"/>
    <w:rsid w:val="00DC5D07"/>
    <w:rsid w:val="00DD0668"/>
    <w:rsid w:val="00DD1DB5"/>
    <w:rsid w:val="00DD450B"/>
    <w:rsid w:val="00DD66E5"/>
    <w:rsid w:val="00DE35D9"/>
    <w:rsid w:val="00DE517B"/>
    <w:rsid w:val="00DF4552"/>
    <w:rsid w:val="00E00E9C"/>
    <w:rsid w:val="00E06D3C"/>
    <w:rsid w:val="00E16FCE"/>
    <w:rsid w:val="00E172E4"/>
    <w:rsid w:val="00E231BC"/>
    <w:rsid w:val="00E27221"/>
    <w:rsid w:val="00E34DF9"/>
    <w:rsid w:val="00E36727"/>
    <w:rsid w:val="00E55FCF"/>
    <w:rsid w:val="00E56D6A"/>
    <w:rsid w:val="00E634AA"/>
    <w:rsid w:val="00E64F6A"/>
    <w:rsid w:val="00E85858"/>
    <w:rsid w:val="00E867CB"/>
    <w:rsid w:val="00E90AE4"/>
    <w:rsid w:val="00EE4966"/>
    <w:rsid w:val="00EF7C5A"/>
    <w:rsid w:val="00F04907"/>
    <w:rsid w:val="00F302D7"/>
    <w:rsid w:val="00F52E28"/>
    <w:rsid w:val="00F55AE4"/>
    <w:rsid w:val="00F71E0A"/>
    <w:rsid w:val="00F8281E"/>
    <w:rsid w:val="00F93B06"/>
    <w:rsid w:val="00FB3B48"/>
    <w:rsid w:val="00FC1E70"/>
    <w:rsid w:val="00FD111B"/>
    <w:rsid w:val="00FF0F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1CD"/>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3B48"/>
    <w:pPr>
      <w:ind w:left="720"/>
      <w:contextualSpacing/>
    </w:pPr>
  </w:style>
  <w:style w:type="paragraph" w:customStyle="1" w:styleId="rvps2">
    <w:name w:val="rvps2"/>
    <w:basedOn w:val="a"/>
    <w:rsid w:val="001B4259"/>
    <w:pPr>
      <w:spacing w:before="100" w:beforeAutospacing="1" w:after="100" w:afterAutospacing="1"/>
    </w:pPr>
  </w:style>
  <w:style w:type="character" w:styleId="a4">
    <w:name w:val="Hyperlink"/>
    <w:basedOn w:val="a0"/>
    <w:uiPriority w:val="99"/>
    <w:unhideWhenUsed/>
    <w:rsid w:val="00A96333"/>
    <w:rPr>
      <w:color w:val="0000FF" w:themeColor="hyperlink"/>
      <w:u w:val="single"/>
    </w:rPr>
  </w:style>
  <w:style w:type="paragraph" w:styleId="a5">
    <w:name w:val="Normal (Web)"/>
    <w:basedOn w:val="a"/>
    <w:uiPriority w:val="99"/>
    <w:semiHidden/>
    <w:unhideWhenUsed/>
    <w:rsid w:val="009E5BD7"/>
    <w:pPr>
      <w:spacing w:before="100" w:beforeAutospacing="1" w:after="100" w:afterAutospacing="1"/>
    </w:pPr>
  </w:style>
  <w:style w:type="paragraph" w:styleId="a6">
    <w:name w:val="footnote text"/>
    <w:basedOn w:val="a"/>
    <w:link w:val="a7"/>
    <w:uiPriority w:val="99"/>
    <w:semiHidden/>
    <w:unhideWhenUsed/>
    <w:rsid w:val="00C77F33"/>
    <w:rPr>
      <w:sz w:val="20"/>
      <w:szCs w:val="20"/>
    </w:rPr>
  </w:style>
  <w:style w:type="character" w:customStyle="1" w:styleId="a7">
    <w:name w:val="Текст сноски Знак"/>
    <w:basedOn w:val="a0"/>
    <w:link w:val="a6"/>
    <w:uiPriority w:val="99"/>
    <w:semiHidden/>
    <w:rsid w:val="00C77F33"/>
    <w:rPr>
      <w:rFonts w:ascii="Times New Roman" w:eastAsia="Times New Roman" w:hAnsi="Times New Roman" w:cs="Times New Roman"/>
      <w:sz w:val="20"/>
      <w:szCs w:val="20"/>
      <w:lang w:eastAsia="uk-UA"/>
    </w:rPr>
  </w:style>
  <w:style w:type="character" w:styleId="a8">
    <w:name w:val="footnote reference"/>
    <w:basedOn w:val="a0"/>
    <w:uiPriority w:val="99"/>
    <w:semiHidden/>
    <w:unhideWhenUsed/>
    <w:rsid w:val="00C77F33"/>
    <w:rPr>
      <w:vertAlign w:val="superscript"/>
    </w:rPr>
  </w:style>
  <w:style w:type="table" w:styleId="a9">
    <w:name w:val="Table Grid"/>
    <w:basedOn w:val="a1"/>
    <w:uiPriority w:val="59"/>
    <w:rsid w:val="00A77F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E85858"/>
    <w:rPr>
      <w:rFonts w:ascii="Tahoma" w:hAnsi="Tahoma" w:cs="Tahoma"/>
      <w:sz w:val="16"/>
      <w:szCs w:val="16"/>
    </w:rPr>
  </w:style>
  <w:style w:type="character" w:customStyle="1" w:styleId="ab">
    <w:name w:val="Текст выноски Знак"/>
    <w:basedOn w:val="a0"/>
    <w:link w:val="aa"/>
    <w:uiPriority w:val="99"/>
    <w:semiHidden/>
    <w:rsid w:val="00E85858"/>
    <w:rPr>
      <w:rFonts w:ascii="Tahoma" w:eastAsia="Times New Roman" w:hAnsi="Tahoma" w:cs="Tahoma"/>
      <w:sz w:val="16"/>
      <w:szCs w:val="16"/>
      <w:lang w:eastAsia="uk-UA"/>
    </w:rPr>
  </w:style>
  <w:style w:type="character" w:customStyle="1" w:styleId="apple-converted-space">
    <w:name w:val="apple-converted-space"/>
    <w:basedOn w:val="a0"/>
    <w:rsid w:val="001606C9"/>
  </w:style>
  <w:style w:type="character" w:customStyle="1" w:styleId="spelle">
    <w:name w:val="spelle"/>
    <w:basedOn w:val="a0"/>
    <w:rsid w:val="001606C9"/>
  </w:style>
  <w:style w:type="character" w:styleId="ac">
    <w:name w:val="annotation reference"/>
    <w:basedOn w:val="a0"/>
    <w:uiPriority w:val="99"/>
    <w:semiHidden/>
    <w:unhideWhenUsed/>
    <w:rsid w:val="00BF77F4"/>
    <w:rPr>
      <w:sz w:val="16"/>
      <w:szCs w:val="16"/>
    </w:rPr>
  </w:style>
  <w:style w:type="paragraph" w:styleId="ad">
    <w:name w:val="annotation text"/>
    <w:basedOn w:val="a"/>
    <w:link w:val="ae"/>
    <w:uiPriority w:val="99"/>
    <w:semiHidden/>
    <w:unhideWhenUsed/>
    <w:rsid w:val="00BF77F4"/>
    <w:rPr>
      <w:sz w:val="20"/>
      <w:szCs w:val="20"/>
    </w:rPr>
  </w:style>
  <w:style w:type="character" w:customStyle="1" w:styleId="ae">
    <w:name w:val="Текст примечания Знак"/>
    <w:basedOn w:val="a0"/>
    <w:link w:val="ad"/>
    <w:uiPriority w:val="99"/>
    <w:semiHidden/>
    <w:rsid w:val="00BF77F4"/>
    <w:rPr>
      <w:rFonts w:ascii="Times New Roman" w:eastAsia="Times New Roman" w:hAnsi="Times New Roman" w:cs="Times New Roman"/>
      <w:sz w:val="20"/>
      <w:szCs w:val="20"/>
      <w:lang w:eastAsia="uk-UA"/>
    </w:rPr>
  </w:style>
  <w:style w:type="paragraph" w:styleId="af">
    <w:name w:val="annotation subject"/>
    <w:basedOn w:val="ad"/>
    <w:next w:val="ad"/>
    <w:link w:val="af0"/>
    <w:uiPriority w:val="99"/>
    <w:semiHidden/>
    <w:unhideWhenUsed/>
    <w:rsid w:val="00BF77F4"/>
    <w:rPr>
      <w:b/>
      <w:bCs/>
    </w:rPr>
  </w:style>
  <w:style w:type="character" w:customStyle="1" w:styleId="af0">
    <w:name w:val="Тема примечания Знак"/>
    <w:basedOn w:val="ae"/>
    <w:link w:val="af"/>
    <w:uiPriority w:val="99"/>
    <w:semiHidden/>
    <w:rsid w:val="00BF77F4"/>
    <w:rPr>
      <w:rFonts w:ascii="Times New Roman" w:eastAsia="Times New Roman" w:hAnsi="Times New Roman" w:cs="Times New Roman"/>
      <w:b/>
      <w:bCs/>
      <w:sz w:val="20"/>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1CD"/>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3B48"/>
    <w:pPr>
      <w:ind w:left="720"/>
      <w:contextualSpacing/>
    </w:pPr>
  </w:style>
  <w:style w:type="paragraph" w:customStyle="1" w:styleId="rvps2">
    <w:name w:val="rvps2"/>
    <w:basedOn w:val="a"/>
    <w:rsid w:val="001B4259"/>
    <w:pPr>
      <w:spacing w:before="100" w:beforeAutospacing="1" w:after="100" w:afterAutospacing="1"/>
    </w:pPr>
  </w:style>
  <w:style w:type="character" w:styleId="a4">
    <w:name w:val="Hyperlink"/>
    <w:basedOn w:val="a0"/>
    <w:uiPriority w:val="99"/>
    <w:unhideWhenUsed/>
    <w:rsid w:val="00A96333"/>
    <w:rPr>
      <w:color w:val="0000FF" w:themeColor="hyperlink"/>
      <w:u w:val="single"/>
    </w:rPr>
  </w:style>
  <w:style w:type="paragraph" w:styleId="a5">
    <w:name w:val="Normal (Web)"/>
    <w:basedOn w:val="a"/>
    <w:uiPriority w:val="99"/>
    <w:semiHidden/>
    <w:unhideWhenUsed/>
    <w:rsid w:val="009E5BD7"/>
    <w:pPr>
      <w:spacing w:before="100" w:beforeAutospacing="1" w:after="100" w:afterAutospacing="1"/>
    </w:pPr>
  </w:style>
  <w:style w:type="paragraph" w:styleId="a6">
    <w:name w:val="footnote text"/>
    <w:basedOn w:val="a"/>
    <w:link w:val="a7"/>
    <w:uiPriority w:val="99"/>
    <w:semiHidden/>
    <w:unhideWhenUsed/>
    <w:rsid w:val="00C77F33"/>
    <w:rPr>
      <w:sz w:val="20"/>
      <w:szCs w:val="20"/>
    </w:rPr>
  </w:style>
  <w:style w:type="character" w:customStyle="1" w:styleId="a7">
    <w:name w:val="Текст сноски Знак"/>
    <w:basedOn w:val="a0"/>
    <w:link w:val="a6"/>
    <w:uiPriority w:val="99"/>
    <w:semiHidden/>
    <w:rsid w:val="00C77F33"/>
    <w:rPr>
      <w:rFonts w:ascii="Times New Roman" w:eastAsia="Times New Roman" w:hAnsi="Times New Roman" w:cs="Times New Roman"/>
      <w:sz w:val="20"/>
      <w:szCs w:val="20"/>
      <w:lang w:eastAsia="uk-UA"/>
    </w:rPr>
  </w:style>
  <w:style w:type="character" w:styleId="a8">
    <w:name w:val="footnote reference"/>
    <w:basedOn w:val="a0"/>
    <w:uiPriority w:val="99"/>
    <w:semiHidden/>
    <w:unhideWhenUsed/>
    <w:rsid w:val="00C77F33"/>
    <w:rPr>
      <w:vertAlign w:val="superscript"/>
    </w:rPr>
  </w:style>
  <w:style w:type="table" w:styleId="a9">
    <w:name w:val="Table Grid"/>
    <w:basedOn w:val="a1"/>
    <w:uiPriority w:val="59"/>
    <w:rsid w:val="00A77F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E85858"/>
    <w:rPr>
      <w:rFonts w:ascii="Tahoma" w:hAnsi="Tahoma" w:cs="Tahoma"/>
      <w:sz w:val="16"/>
      <w:szCs w:val="16"/>
    </w:rPr>
  </w:style>
  <w:style w:type="character" w:customStyle="1" w:styleId="ab">
    <w:name w:val="Текст выноски Знак"/>
    <w:basedOn w:val="a0"/>
    <w:link w:val="aa"/>
    <w:uiPriority w:val="99"/>
    <w:semiHidden/>
    <w:rsid w:val="00E85858"/>
    <w:rPr>
      <w:rFonts w:ascii="Tahoma" w:eastAsia="Times New Roman" w:hAnsi="Tahoma" w:cs="Tahoma"/>
      <w:sz w:val="16"/>
      <w:szCs w:val="16"/>
      <w:lang w:eastAsia="uk-UA"/>
    </w:rPr>
  </w:style>
  <w:style w:type="character" w:customStyle="1" w:styleId="apple-converted-space">
    <w:name w:val="apple-converted-space"/>
    <w:basedOn w:val="a0"/>
    <w:rsid w:val="001606C9"/>
  </w:style>
  <w:style w:type="character" w:customStyle="1" w:styleId="spelle">
    <w:name w:val="spelle"/>
    <w:basedOn w:val="a0"/>
    <w:rsid w:val="001606C9"/>
  </w:style>
  <w:style w:type="character" w:styleId="ac">
    <w:name w:val="annotation reference"/>
    <w:basedOn w:val="a0"/>
    <w:uiPriority w:val="99"/>
    <w:semiHidden/>
    <w:unhideWhenUsed/>
    <w:rsid w:val="00BF77F4"/>
    <w:rPr>
      <w:sz w:val="16"/>
      <w:szCs w:val="16"/>
    </w:rPr>
  </w:style>
  <w:style w:type="paragraph" w:styleId="ad">
    <w:name w:val="annotation text"/>
    <w:basedOn w:val="a"/>
    <w:link w:val="ae"/>
    <w:uiPriority w:val="99"/>
    <w:semiHidden/>
    <w:unhideWhenUsed/>
    <w:rsid w:val="00BF77F4"/>
    <w:rPr>
      <w:sz w:val="20"/>
      <w:szCs w:val="20"/>
    </w:rPr>
  </w:style>
  <w:style w:type="character" w:customStyle="1" w:styleId="ae">
    <w:name w:val="Текст примечания Знак"/>
    <w:basedOn w:val="a0"/>
    <w:link w:val="ad"/>
    <w:uiPriority w:val="99"/>
    <w:semiHidden/>
    <w:rsid w:val="00BF77F4"/>
    <w:rPr>
      <w:rFonts w:ascii="Times New Roman" w:eastAsia="Times New Roman" w:hAnsi="Times New Roman" w:cs="Times New Roman"/>
      <w:sz w:val="20"/>
      <w:szCs w:val="20"/>
      <w:lang w:eastAsia="uk-UA"/>
    </w:rPr>
  </w:style>
  <w:style w:type="paragraph" w:styleId="af">
    <w:name w:val="annotation subject"/>
    <w:basedOn w:val="ad"/>
    <w:next w:val="ad"/>
    <w:link w:val="af0"/>
    <w:uiPriority w:val="99"/>
    <w:semiHidden/>
    <w:unhideWhenUsed/>
    <w:rsid w:val="00BF77F4"/>
    <w:rPr>
      <w:b/>
      <w:bCs/>
    </w:rPr>
  </w:style>
  <w:style w:type="character" w:customStyle="1" w:styleId="af0">
    <w:name w:val="Тема примечания Знак"/>
    <w:basedOn w:val="ae"/>
    <w:link w:val="af"/>
    <w:uiPriority w:val="99"/>
    <w:semiHidden/>
    <w:rsid w:val="00BF77F4"/>
    <w:rPr>
      <w:rFonts w:ascii="Times New Roman" w:eastAsia="Times New Roman" w:hAnsi="Times New Roman" w:cs="Times New Roman"/>
      <w:b/>
      <w:bCs/>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60446">
      <w:bodyDiv w:val="1"/>
      <w:marLeft w:val="0"/>
      <w:marRight w:val="0"/>
      <w:marTop w:val="0"/>
      <w:marBottom w:val="0"/>
      <w:divBdr>
        <w:top w:val="none" w:sz="0" w:space="0" w:color="auto"/>
        <w:left w:val="none" w:sz="0" w:space="0" w:color="auto"/>
        <w:bottom w:val="none" w:sz="0" w:space="0" w:color="auto"/>
        <w:right w:val="none" w:sz="0" w:space="0" w:color="auto"/>
      </w:divBdr>
    </w:div>
    <w:div w:id="505483933">
      <w:bodyDiv w:val="1"/>
      <w:marLeft w:val="0"/>
      <w:marRight w:val="0"/>
      <w:marTop w:val="0"/>
      <w:marBottom w:val="0"/>
      <w:divBdr>
        <w:top w:val="none" w:sz="0" w:space="0" w:color="auto"/>
        <w:left w:val="none" w:sz="0" w:space="0" w:color="auto"/>
        <w:bottom w:val="none" w:sz="0" w:space="0" w:color="auto"/>
        <w:right w:val="none" w:sz="0" w:space="0" w:color="auto"/>
      </w:divBdr>
    </w:div>
    <w:div w:id="1495948661">
      <w:bodyDiv w:val="1"/>
      <w:marLeft w:val="0"/>
      <w:marRight w:val="0"/>
      <w:marTop w:val="0"/>
      <w:marBottom w:val="0"/>
      <w:divBdr>
        <w:top w:val="none" w:sz="0" w:space="0" w:color="auto"/>
        <w:left w:val="none" w:sz="0" w:space="0" w:color="auto"/>
        <w:bottom w:val="none" w:sz="0" w:space="0" w:color="auto"/>
        <w:right w:val="none" w:sz="0" w:space="0" w:color="auto"/>
      </w:divBdr>
    </w:div>
    <w:div w:id="1906724345">
      <w:bodyDiv w:val="1"/>
      <w:marLeft w:val="0"/>
      <w:marRight w:val="0"/>
      <w:marTop w:val="0"/>
      <w:marBottom w:val="0"/>
      <w:divBdr>
        <w:top w:val="none" w:sz="0" w:space="0" w:color="auto"/>
        <w:left w:val="none" w:sz="0" w:space="0" w:color="auto"/>
        <w:bottom w:val="none" w:sz="0" w:space="0" w:color="auto"/>
        <w:right w:val="none" w:sz="0" w:space="0" w:color="auto"/>
      </w:divBdr>
    </w:div>
    <w:div w:id="2072920439">
      <w:bodyDiv w:val="1"/>
      <w:marLeft w:val="0"/>
      <w:marRight w:val="0"/>
      <w:marTop w:val="0"/>
      <w:marBottom w:val="0"/>
      <w:divBdr>
        <w:top w:val="none" w:sz="0" w:space="0" w:color="auto"/>
        <w:left w:val="none" w:sz="0" w:space="0" w:color="auto"/>
        <w:bottom w:val="none" w:sz="0" w:space="0" w:color="auto"/>
        <w:right w:val="none" w:sz="0" w:space="0" w:color="auto"/>
      </w:divBdr>
    </w:div>
    <w:div w:id="210857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Грудень2014</c:v>
                </c:pt>
              </c:strCache>
            </c:strRef>
          </c:tx>
          <c:invertIfNegative val="0"/>
          <c:dLbls>
            <c:showLegendKey val="0"/>
            <c:showVal val="1"/>
            <c:showCatName val="0"/>
            <c:showSerName val="0"/>
            <c:showPercent val="0"/>
            <c:showBubbleSize val="0"/>
            <c:showLeaderLines val="0"/>
          </c:dLbls>
          <c:cat>
            <c:strRef>
              <c:f>Лист1!$A$2:$A$8</c:f>
              <c:strCache>
                <c:ptCount val="7"/>
                <c:pt idx="0">
                  <c:v>Президент України</c:v>
                </c:pt>
                <c:pt idx="1">
                  <c:v>Верховна Рада України</c:v>
                </c:pt>
                <c:pt idx="2">
                  <c:v>Кабінет Міністрів України</c:v>
                </c:pt>
                <c:pt idx="3">
                  <c:v>Місцева влада</c:v>
                </c:pt>
                <c:pt idx="4">
                  <c:v>Міліція (поліція)</c:v>
                </c:pt>
                <c:pt idx="5">
                  <c:v>Суди</c:v>
                </c:pt>
                <c:pt idx="6">
                  <c:v>Прокуратура</c:v>
                </c:pt>
              </c:strCache>
            </c:strRef>
          </c:cat>
          <c:val>
            <c:numRef>
              <c:f>Лист1!$B$2:$B$8</c:f>
              <c:numCache>
                <c:formatCode>General</c:formatCode>
                <c:ptCount val="7"/>
                <c:pt idx="0">
                  <c:v>5</c:v>
                </c:pt>
                <c:pt idx="1">
                  <c:v>-26</c:v>
                </c:pt>
                <c:pt idx="2">
                  <c:v>-18</c:v>
                </c:pt>
                <c:pt idx="3">
                  <c:v>-15</c:v>
                </c:pt>
                <c:pt idx="4">
                  <c:v>-58</c:v>
                </c:pt>
                <c:pt idx="5">
                  <c:v>-72</c:v>
                </c:pt>
                <c:pt idx="6">
                  <c:v>-64</c:v>
                </c:pt>
              </c:numCache>
            </c:numRef>
          </c:val>
        </c:ser>
        <c:ser>
          <c:idx val="1"/>
          <c:order val="1"/>
          <c:tx>
            <c:strRef>
              <c:f>Лист1!$C$1</c:f>
              <c:strCache>
                <c:ptCount val="1"/>
                <c:pt idx="0">
                  <c:v>липень 2015</c:v>
                </c:pt>
              </c:strCache>
            </c:strRef>
          </c:tx>
          <c:invertIfNegative val="0"/>
          <c:dLbls>
            <c:showLegendKey val="0"/>
            <c:showVal val="1"/>
            <c:showCatName val="0"/>
            <c:showSerName val="0"/>
            <c:showPercent val="0"/>
            <c:showBubbleSize val="0"/>
            <c:showLeaderLines val="0"/>
          </c:dLbls>
          <c:cat>
            <c:strRef>
              <c:f>Лист1!$A$2:$A$8</c:f>
              <c:strCache>
                <c:ptCount val="7"/>
                <c:pt idx="0">
                  <c:v>Президент України</c:v>
                </c:pt>
                <c:pt idx="1">
                  <c:v>Верховна Рада України</c:v>
                </c:pt>
                <c:pt idx="2">
                  <c:v>Кабінет Міністрів України</c:v>
                </c:pt>
                <c:pt idx="3">
                  <c:v>Місцева влада</c:v>
                </c:pt>
                <c:pt idx="4">
                  <c:v>Міліція (поліція)</c:v>
                </c:pt>
                <c:pt idx="5">
                  <c:v>Суди</c:v>
                </c:pt>
                <c:pt idx="6">
                  <c:v>Прокуратура</c:v>
                </c:pt>
              </c:strCache>
            </c:strRef>
          </c:cat>
          <c:val>
            <c:numRef>
              <c:f>Лист1!$C$2:$C$8</c:f>
              <c:numCache>
                <c:formatCode>General</c:formatCode>
                <c:ptCount val="7"/>
                <c:pt idx="0">
                  <c:v>-33</c:v>
                </c:pt>
                <c:pt idx="1">
                  <c:v>-63</c:v>
                </c:pt>
                <c:pt idx="2">
                  <c:v>-56</c:v>
                </c:pt>
                <c:pt idx="3">
                  <c:v>-22</c:v>
                </c:pt>
                <c:pt idx="4">
                  <c:v>-57</c:v>
                </c:pt>
                <c:pt idx="5">
                  <c:v>-67</c:v>
                </c:pt>
                <c:pt idx="6">
                  <c:v>-67</c:v>
                </c:pt>
              </c:numCache>
            </c:numRef>
          </c:val>
        </c:ser>
        <c:ser>
          <c:idx val="2"/>
          <c:order val="2"/>
          <c:tx>
            <c:strRef>
              <c:f>Лист1!$D$1</c:f>
              <c:strCache>
                <c:ptCount val="1"/>
                <c:pt idx="0">
                  <c:v>грудень 2015</c:v>
                </c:pt>
              </c:strCache>
            </c:strRef>
          </c:tx>
          <c:invertIfNegative val="0"/>
          <c:dLbls>
            <c:showLegendKey val="0"/>
            <c:showVal val="1"/>
            <c:showCatName val="0"/>
            <c:showSerName val="0"/>
            <c:showPercent val="0"/>
            <c:showBubbleSize val="0"/>
            <c:showLeaderLines val="0"/>
          </c:dLbls>
          <c:cat>
            <c:strRef>
              <c:f>Лист1!$A$2:$A$8</c:f>
              <c:strCache>
                <c:ptCount val="7"/>
                <c:pt idx="0">
                  <c:v>Президент України</c:v>
                </c:pt>
                <c:pt idx="1">
                  <c:v>Верховна Рада України</c:v>
                </c:pt>
                <c:pt idx="2">
                  <c:v>Кабінет Міністрів України</c:v>
                </c:pt>
                <c:pt idx="3">
                  <c:v>Місцева влада</c:v>
                </c:pt>
                <c:pt idx="4">
                  <c:v>Міліція (поліція)</c:v>
                </c:pt>
                <c:pt idx="5">
                  <c:v>Суди</c:v>
                </c:pt>
                <c:pt idx="6">
                  <c:v>Прокуратура</c:v>
                </c:pt>
              </c:strCache>
            </c:strRef>
          </c:cat>
          <c:val>
            <c:numRef>
              <c:f>Лист1!$D$2:$D$8</c:f>
              <c:numCache>
                <c:formatCode>General</c:formatCode>
                <c:ptCount val="7"/>
                <c:pt idx="0">
                  <c:v>-40</c:v>
                </c:pt>
                <c:pt idx="1">
                  <c:v>-74</c:v>
                </c:pt>
                <c:pt idx="2">
                  <c:v>-67</c:v>
                </c:pt>
                <c:pt idx="3">
                  <c:v>-24</c:v>
                </c:pt>
                <c:pt idx="4">
                  <c:v>-25</c:v>
                </c:pt>
                <c:pt idx="5">
                  <c:v>-72</c:v>
                </c:pt>
                <c:pt idx="6">
                  <c:v>-66</c:v>
                </c:pt>
              </c:numCache>
            </c:numRef>
          </c:val>
        </c:ser>
        <c:dLbls>
          <c:showLegendKey val="0"/>
          <c:showVal val="0"/>
          <c:showCatName val="0"/>
          <c:showSerName val="0"/>
          <c:showPercent val="0"/>
          <c:showBubbleSize val="0"/>
        </c:dLbls>
        <c:gapWidth val="150"/>
        <c:axId val="177423488"/>
        <c:axId val="177425024"/>
      </c:barChart>
      <c:catAx>
        <c:axId val="177423488"/>
        <c:scaling>
          <c:orientation val="minMax"/>
        </c:scaling>
        <c:delete val="0"/>
        <c:axPos val="b"/>
        <c:majorTickMark val="out"/>
        <c:minorTickMark val="none"/>
        <c:tickLblPos val="high"/>
        <c:crossAx val="177425024"/>
        <c:crosses val="autoZero"/>
        <c:auto val="1"/>
        <c:lblAlgn val="ctr"/>
        <c:lblOffset val="100"/>
        <c:noMultiLvlLbl val="0"/>
      </c:catAx>
      <c:valAx>
        <c:axId val="177425024"/>
        <c:scaling>
          <c:orientation val="minMax"/>
        </c:scaling>
        <c:delete val="0"/>
        <c:axPos val="l"/>
        <c:majorGridlines/>
        <c:numFmt formatCode="General" sourceLinked="1"/>
        <c:majorTickMark val="out"/>
        <c:minorTickMark val="none"/>
        <c:tickLblPos val="nextTo"/>
        <c:crossAx val="177423488"/>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999033974919802E-2"/>
          <c:y val="4.4057617797775277E-2"/>
          <c:w val="0.65324001166520851"/>
          <c:h val="0.72438605796037159"/>
        </c:manualLayout>
      </c:layout>
      <c:barChart>
        <c:barDir val="col"/>
        <c:grouping val="clustered"/>
        <c:varyColors val="0"/>
        <c:ser>
          <c:idx val="0"/>
          <c:order val="0"/>
          <c:tx>
            <c:strRef>
              <c:f>Лист1!$B$1</c:f>
              <c:strCache>
                <c:ptCount val="1"/>
                <c:pt idx="0">
                  <c:v>до виплати допомоги</c:v>
                </c:pt>
              </c:strCache>
            </c:strRef>
          </c:tx>
          <c:invertIfNegative val="0"/>
          <c:dLbls>
            <c:showLegendKey val="0"/>
            <c:showVal val="1"/>
            <c:showCatName val="0"/>
            <c:showSerName val="0"/>
            <c:showPercent val="0"/>
            <c:showBubbleSize val="0"/>
            <c:showLeaderLines val="0"/>
          </c:dLbls>
          <c:cat>
            <c:numRef>
              <c:f>Лист1!$A$2:$A$6</c:f>
              <c:numCache>
                <c:formatCode>General</c:formatCode>
                <c:ptCount val="5"/>
                <c:pt idx="0">
                  <c:v>1</c:v>
                </c:pt>
                <c:pt idx="1">
                  <c:v>2</c:v>
                </c:pt>
                <c:pt idx="2">
                  <c:v>3</c:v>
                </c:pt>
                <c:pt idx="3">
                  <c:v>4</c:v>
                </c:pt>
                <c:pt idx="4">
                  <c:v>5</c:v>
                </c:pt>
              </c:numCache>
            </c:numRef>
          </c:cat>
          <c:val>
            <c:numRef>
              <c:f>Лист1!$B$2:$B$6</c:f>
              <c:numCache>
                <c:formatCode>General</c:formatCode>
                <c:ptCount val="5"/>
                <c:pt idx="0">
                  <c:v>25.3</c:v>
                </c:pt>
                <c:pt idx="1">
                  <c:v>16.899999999999999</c:v>
                </c:pt>
                <c:pt idx="2">
                  <c:v>21.7</c:v>
                </c:pt>
                <c:pt idx="3">
                  <c:v>40.799999999999997</c:v>
                </c:pt>
                <c:pt idx="4">
                  <c:v>7.4</c:v>
                </c:pt>
              </c:numCache>
            </c:numRef>
          </c:val>
        </c:ser>
        <c:ser>
          <c:idx val="1"/>
          <c:order val="1"/>
          <c:tx>
            <c:strRef>
              <c:f>Лист1!$C$1</c:f>
              <c:strCache>
                <c:ptCount val="1"/>
                <c:pt idx="0">
                  <c:v>після виплати допомоги</c:v>
                </c:pt>
              </c:strCache>
            </c:strRef>
          </c:tx>
          <c:invertIfNegative val="0"/>
          <c:dLbls>
            <c:dLbl>
              <c:idx val="1"/>
              <c:layout>
                <c:manualLayout>
                  <c:x val="1.8518518518518517E-2"/>
                  <c:y val="2.07253886010362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Лист1!$A$2:$A$6</c:f>
              <c:numCache>
                <c:formatCode>General</c:formatCode>
                <c:ptCount val="5"/>
                <c:pt idx="0">
                  <c:v>1</c:v>
                </c:pt>
                <c:pt idx="1">
                  <c:v>2</c:v>
                </c:pt>
                <c:pt idx="2">
                  <c:v>3</c:v>
                </c:pt>
                <c:pt idx="3">
                  <c:v>4</c:v>
                </c:pt>
                <c:pt idx="4">
                  <c:v>5</c:v>
                </c:pt>
              </c:numCache>
            </c:numRef>
          </c:cat>
          <c:val>
            <c:numRef>
              <c:f>Лист1!$C$2:$C$6</c:f>
              <c:numCache>
                <c:formatCode>General</c:formatCode>
                <c:ptCount val="5"/>
                <c:pt idx="0">
                  <c:v>9.8000000000000007</c:v>
                </c:pt>
                <c:pt idx="1">
                  <c:v>16.899999999999999</c:v>
                </c:pt>
                <c:pt idx="2">
                  <c:v>13.8</c:v>
                </c:pt>
                <c:pt idx="3">
                  <c:v>11.7</c:v>
                </c:pt>
                <c:pt idx="4">
                  <c:v>4.5</c:v>
                </c:pt>
              </c:numCache>
            </c:numRef>
          </c:val>
        </c:ser>
        <c:dLbls>
          <c:showLegendKey val="0"/>
          <c:showVal val="0"/>
          <c:showCatName val="0"/>
          <c:showSerName val="0"/>
          <c:showPercent val="0"/>
          <c:showBubbleSize val="0"/>
        </c:dLbls>
        <c:gapWidth val="150"/>
        <c:axId val="182018048"/>
        <c:axId val="182019584"/>
      </c:barChart>
      <c:catAx>
        <c:axId val="182018048"/>
        <c:scaling>
          <c:orientation val="minMax"/>
        </c:scaling>
        <c:delete val="0"/>
        <c:axPos val="b"/>
        <c:numFmt formatCode="General" sourceLinked="1"/>
        <c:majorTickMark val="out"/>
        <c:minorTickMark val="none"/>
        <c:tickLblPos val="nextTo"/>
        <c:crossAx val="182019584"/>
        <c:crosses val="autoZero"/>
        <c:auto val="1"/>
        <c:lblAlgn val="ctr"/>
        <c:lblOffset val="100"/>
        <c:noMultiLvlLbl val="0"/>
      </c:catAx>
      <c:valAx>
        <c:axId val="182019584"/>
        <c:scaling>
          <c:orientation val="minMax"/>
        </c:scaling>
        <c:delete val="0"/>
        <c:axPos val="l"/>
        <c:majorGridlines/>
        <c:numFmt formatCode="General" sourceLinked="1"/>
        <c:majorTickMark val="out"/>
        <c:minorTickMark val="none"/>
        <c:tickLblPos val="nextTo"/>
        <c:crossAx val="18201804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c:v>
                </c:pt>
              </c:strCache>
            </c:strRef>
          </c:tx>
          <c:invertIfNegative val="0"/>
          <c:dLbls>
            <c:showLegendKey val="0"/>
            <c:showVal val="1"/>
            <c:showCatName val="0"/>
            <c:showSerName val="0"/>
            <c:showPercent val="0"/>
            <c:showBubbleSize val="0"/>
            <c:showLeaderLines val="0"/>
          </c:dLbls>
          <c:cat>
            <c:numRef>
              <c:f>Лист1!$A$2:$A$11</c:f>
              <c:numCache>
                <c:formatCode>General</c:formatCode>
                <c:ptCount val="10"/>
                <c:pt idx="0">
                  <c:v>1999</c:v>
                </c:pt>
                <c:pt idx="1">
                  <c:v>2202</c:v>
                </c:pt>
                <c:pt idx="2">
                  <c:v>2004</c:v>
                </c:pt>
                <c:pt idx="3">
                  <c:v>2006</c:v>
                </c:pt>
                <c:pt idx="4">
                  <c:v>2008</c:v>
                </c:pt>
                <c:pt idx="5">
                  <c:v>2010</c:v>
                </c:pt>
                <c:pt idx="6">
                  <c:v>2012</c:v>
                </c:pt>
                <c:pt idx="7">
                  <c:v>2013</c:v>
                </c:pt>
                <c:pt idx="8">
                  <c:v>2014</c:v>
                </c:pt>
                <c:pt idx="9">
                  <c:v>2015</c:v>
                </c:pt>
              </c:numCache>
            </c:numRef>
          </c:cat>
          <c:val>
            <c:numRef>
              <c:f>Лист1!$B$2:$B$11</c:f>
              <c:numCache>
                <c:formatCode>General</c:formatCode>
                <c:ptCount val="10"/>
                <c:pt idx="0">
                  <c:v>19.899999999999999</c:v>
                </c:pt>
                <c:pt idx="1">
                  <c:v>23.4</c:v>
                </c:pt>
                <c:pt idx="2">
                  <c:v>24.4</c:v>
                </c:pt>
                <c:pt idx="3">
                  <c:v>33.200000000000003</c:v>
                </c:pt>
                <c:pt idx="4">
                  <c:v>25</c:v>
                </c:pt>
                <c:pt idx="5">
                  <c:v>19.600000000000001</c:v>
                </c:pt>
                <c:pt idx="6">
                  <c:v>23.3</c:v>
                </c:pt>
                <c:pt idx="7">
                  <c:v>20.100000000000001</c:v>
                </c:pt>
                <c:pt idx="8">
                  <c:v>12.3</c:v>
                </c:pt>
                <c:pt idx="9">
                  <c:v>7.4</c:v>
                </c:pt>
              </c:numCache>
            </c:numRef>
          </c:val>
        </c:ser>
        <c:dLbls>
          <c:showLegendKey val="0"/>
          <c:showVal val="0"/>
          <c:showCatName val="0"/>
          <c:showSerName val="0"/>
          <c:showPercent val="0"/>
          <c:showBubbleSize val="0"/>
        </c:dLbls>
        <c:gapWidth val="150"/>
        <c:shape val="cylinder"/>
        <c:axId val="182032256"/>
        <c:axId val="182033792"/>
        <c:axId val="0"/>
      </c:bar3DChart>
      <c:catAx>
        <c:axId val="182032256"/>
        <c:scaling>
          <c:orientation val="minMax"/>
        </c:scaling>
        <c:delete val="0"/>
        <c:axPos val="b"/>
        <c:numFmt formatCode="General" sourceLinked="1"/>
        <c:majorTickMark val="out"/>
        <c:minorTickMark val="none"/>
        <c:tickLblPos val="nextTo"/>
        <c:crossAx val="182033792"/>
        <c:crosses val="autoZero"/>
        <c:auto val="1"/>
        <c:lblAlgn val="ctr"/>
        <c:lblOffset val="100"/>
        <c:noMultiLvlLbl val="0"/>
      </c:catAx>
      <c:valAx>
        <c:axId val="182033792"/>
        <c:scaling>
          <c:orientation val="minMax"/>
        </c:scaling>
        <c:delete val="0"/>
        <c:axPos val="l"/>
        <c:majorGridlines/>
        <c:numFmt formatCode="General" sourceLinked="1"/>
        <c:majorTickMark val="out"/>
        <c:minorTickMark val="none"/>
        <c:tickLblPos val="nextTo"/>
        <c:crossAx val="182032256"/>
        <c:crosses val="autoZero"/>
        <c:crossBetween val="between"/>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radarChart>
        <c:radarStyle val="marker"/>
        <c:varyColors val="0"/>
        <c:ser>
          <c:idx val="0"/>
          <c:order val="0"/>
          <c:tx>
            <c:strRef>
              <c:f>Лист1!$B$1</c:f>
              <c:strCache>
                <c:ptCount val="1"/>
                <c:pt idx="0">
                  <c:v>відношення фактичного розміру прожиткового мінімуму в середньому на одну особу в місяць до офіційно затвердженого, %</c:v>
                </c:pt>
              </c:strCache>
            </c:strRef>
          </c:tx>
          <c:marker>
            <c:symbol val="none"/>
          </c:marker>
          <c:dLbls>
            <c:dLbl>
              <c:idx val="0"/>
              <c:layout>
                <c:manualLayout>
                  <c:x val="4.8611111111111112E-2"/>
                  <c:y val="5.9523809523809521E-2"/>
                </c:manualLayout>
              </c:layout>
              <c:showLegendKey val="0"/>
              <c:showVal val="1"/>
              <c:showCatName val="0"/>
              <c:showSerName val="0"/>
              <c:showPercent val="0"/>
              <c:showBubbleSize val="0"/>
            </c:dLbl>
            <c:dLbl>
              <c:idx val="1"/>
              <c:layout>
                <c:manualLayout>
                  <c:x val="1.6203703703703703E-2"/>
                  <c:y val="3.5714285714285712E-2"/>
                </c:manualLayout>
              </c:layout>
              <c:showLegendKey val="0"/>
              <c:showVal val="1"/>
              <c:showCatName val="0"/>
              <c:showSerName val="0"/>
              <c:showPercent val="0"/>
              <c:showBubbleSize val="0"/>
            </c:dLbl>
            <c:txPr>
              <a:bodyPr/>
              <a:lstStyle/>
              <a:p>
                <a:pPr>
                  <a:defRPr b="1" i="1" baseline="0"/>
                </a:pPr>
                <a:endParaRPr lang="uk-UA"/>
              </a:p>
            </c:txPr>
            <c:showLegendKey val="0"/>
            <c:showVal val="1"/>
            <c:showCatName val="0"/>
            <c:showSerName val="0"/>
            <c:showPercent val="0"/>
            <c:showBubbleSize val="0"/>
            <c:showLeaderLines val="0"/>
          </c:dLbls>
          <c:cat>
            <c:strRef>
              <c:f>Лист1!$A$2:$A$8</c:f>
              <c:strCache>
                <c:ptCount val="7"/>
                <c:pt idx="0">
                  <c:v>січень 2014 р.</c:v>
                </c:pt>
                <c:pt idx="1">
                  <c:v>січень 2015 р.</c:v>
                </c:pt>
                <c:pt idx="2">
                  <c:v>липень 2015 р. </c:v>
                </c:pt>
                <c:pt idx="3">
                  <c:v>січень 2016 р. </c:v>
                </c:pt>
                <c:pt idx="4">
                  <c:v>квітень 2016 р</c:v>
                </c:pt>
                <c:pt idx="5">
                  <c:v>червень 2016</c:v>
                </c:pt>
                <c:pt idx="6">
                  <c:v>липень 2016</c:v>
                </c:pt>
              </c:strCache>
            </c:strRef>
          </c:cat>
          <c:val>
            <c:numRef>
              <c:f>Лист1!$B$2:$B$8</c:f>
              <c:numCache>
                <c:formatCode>General</c:formatCode>
                <c:ptCount val="7"/>
                <c:pt idx="0">
                  <c:v>96.63</c:v>
                </c:pt>
                <c:pt idx="1">
                  <c:v>72.680000000000007</c:v>
                </c:pt>
                <c:pt idx="2">
                  <c:v>42.84</c:v>
                </c:pt>
                <c:pt idx="3">
                  <c:v>49.7</c:v>
                </c:pt>
                <c:pt idx="4">
                  <c:v>49.4</c:v>
                </c:pt>
                <c:pt idx="5">
                  <c:v>48.2</c:v>
                </c:pt>
                <c:pt idx="6">
                  <c:v>47.8</c:v>
                </c:pt>
              </c:numCache>
            </c:numRef>
          </c:val>
        </c:ser>
        <c:dLbls>
          <c:showLegendKey val="0"/>
          <c:showVal val="0"/>
          <c:showCatName val="0"/>
          <c:showSerName val="0"/>
          <c:showPercent val="0"/>
          <c:showBubbleSize val="0"/>
        </c:dLbls>
        <c:axId val="182300032"/>
        <c:axId val="182301824"/>
      </c:radarChart>
      <c:catAx>
        <c:axId val="182300032"/>
        <c:scaling>
          <c:orientation val="minMax"/>
        </c:scaling>
        <c:delete val="0"/>
        <c:axPos val="b"/>
        <c:majorGridlines/>
        <c:numFmt formatCode="m/d/yyyy" sourceLinked="1"/>
        <c:majorTickMark val="out"/>
        <c:minorTickMark val="none"/>
        <c:tickLblPos val="nextTo"/>
        <c:txPr>
          <a:bodyPr/>
          <a:lstStyle/>
          <a:p>
            <a:pPr>
              <a:defRPr baseline="0"/>
            </a:pPr>
            <a:endParaRPr lang="uk-UA"/>
          </a:p>
        </c:txPr>
        <c:crossAx val="182301824"/>
        <c:crosses val="autoZero"/>
        <c:auto val="1"/>
        <c:lblAlgn val="ctr"/>
        <c:lblOffset val="100"/>
        <c:noMultiLvlLbl val="0"/>
      </c:catAx>
      <c:valAx>
        <c:axId val="182301824"/>
        <c:scaling>
          <c:orientation val="minMax"/>
        </c:scaling>
        <c:delete val="0"/>
        <c:axPos val="l"/>
        <c:majorGridlines/>
        <c:numFmt formatCode="General" sourceLinked="1"/>
        <c:majorTickMark val="cross"/>
        <c:minorTickMark val="none"/>
        <c:tickLblPos val="nextTo"/>
        <c:crossAx val="182300032"/>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7AEAC-D504-49FC-81B6-BDF7A158E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4798</Words>
  <Characters>32244</Characters>
  <Application>Microsoft Office Word</Application>
  <DocSecurity>0</DocSecurity>
  <Lines>1465</Lines>
  <Paragraphs>903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Torrents.by</Company>
  <LinksUpToDate>false</LinksUpToDate>
  <CharactersWithSpaces>36139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2016-12-13T22:21:00Z</dcterms:created>
  <dcterms:modified xsi:type="dcterms:W3CDTF">2016-12-13T22:21:00Z</dcterms:modified>
</cp:coreProperties>
</file>