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D" w:rsidRPr="006A3923" w:rsidRDefault="00B6031D" w:rsidP="00B6031D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145415</wp:posOffset>
            </wp:positionV>
            <wp:extent cx="1247140" cy="1837690"/>
            <wp:effectExtent l="19050" t="0" r="0" b="0"/>
            <wp:wrapSquare wrapText="bothSides"/>
            <wp:docPr id="3" name="Рисунок 5" descr="C:\Users\Оксана\Desktop\PIC-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PIC-0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31D" w:rsidRPr="00547B86" w:rsidRDefault="00B6031D" w:rsidP="00B6031D">
      <w:pPr>
        <w:pStyle w:val="ae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547B86">
        <w:rPr>
          <w:b/>
          <w:sz w:val="28"/>
          <w:szCs w:val="28"/>
          <w:lang w:val="ru-RU"/>
        </w:rPr>
        <w:t>Кульгейко Оксана</w:t>
      </w:r>
      <w:r w:rsidRPr="00547B86"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 xml:space="preserve"> ФЕта</w:t>
      </w:r>
      <w:r>
        <w:rPr>
          <w:b/>
          <w:sz w:val="28"/>
          <w:szCs w:val="28"/>
        </w:rPr>
        <w:t>У</w:t>
      </w:r>
      <w:r w:rsidRPr="00547B86">
        <w:rPr>
          <w:b/>
          <w:sz w:val="28"/>
          <w:szCs w:val="28"/>
          <w:lang w:val="ru-RU"/>
        </w:rPr>
        <w:t xml:space="preserve">, </w:t>
      </w:r>
      <w:r w:rsidRPr="00547B86">
        <w:rPr>
          <w:b/>
          <w:sz w:val="28"/>
          <w:szCs w:val="28"/>
        </w:rPr>
        <w:t>4 курс,</w:t>
      </w:r>
      <w:r w:rsidRPr="00B6031D">
        <w:rPr>
          <w:b/>
          <w:sz w:val="28"/>
          <w:szCs w:val="28"/>
          <w:lang w:val="ru-RU"/>
        </w:rPr>
        <w:t xml:space="preserve"> </w:t>
      </w:r>
      <w:r w:rsidRPr="00547B86">
        <w:rPr>
          <w:b/>
          <w:sz w:val="28"/>
          <w:szCs w:val="28"/>
        </w:rPr>
        <w:t>ЕЕП-401</w:t>
      </w:r>
    </w:p>
    <w:p w:rsidR="00294B1F" w:rsidRPr="00B6031D" w:rsidRDefault="00B6031D" w:rsidP="00B6031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7B86">
        <w:rPr>
          <w:rFonts w:ascii="Times New Roman" w:hAnsi="Times New Roman" w:cs="Times New Roman"/>
          <w:b/>
          <w:sz w:val="28"/>
          <w:szCs w:val="28"/>
          <w:lang w:val="en-US"/>
        </w:rPr>
        <w:t>kulgeiko</w:t>
      </w:r>
      <w:r w:rsidRPr="00B6031D">
        <w:rPr>
          <w:rFonts w:ascii="Times New Roman" w:hAnsi="Times New Roman" w:cs="Times New Roman"/>
          <w:b/>
          <w:sz w:val="28"/>
          <w:szCs w:val="28"/>
        </w:rPr>
        <w:t>.</w:t>
      </w:r>
      <w:r w:rsidRPr="00547B86"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Pr="00B6031D">
        <w:rPr>
          <w:rFonts w:ascii="Times New Roman" w:hAnsi="Times New Roman" w:cs="Times New Roman"/>
          <w:b/>
          <w:sz w:val="28"/>
          <w:szCs w:val="28"/>
        </w:rPr>
        <w:t>@</w:t>
      </w:r>
      <w:r w:rsidRPr="00547B8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B6031D">
        <w:rPr>
          <w:rFonts w:ascii="Times New Roman" w:hAnsi="Times New Roman" w:cs="Times New Roman"/>
          <w:b/>
          <w:sz w:val="28"/>
          <w:szCs w:val="28"/>
        </w:rPr>
        <w:t>.</w:t>
      </w:r>
      <w:r w:rsidRPr="00547B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2A763C">
        <w:rPr>
          <w:rFonts w:ascii="Times New Roman" w:hAnsi="Times New Roman" w:cs="Times New Roman"/>
          <w:b/>
          <w:i/>
          <w:sz w:val="40"/>
          <w:szCs w:val="40"/>
        </w:rPr>
        <w:br w:type="textWrapping" w:clear="all"/>
      </w:r>
    </w:p>
    <w:p w:rsidR="00547B86" w:rsidRPr="00B6031D" w:rsidRDefault="00547B86" w:rsidP="00547B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34EE" w:rsidRDefault="007134EE" w:rsidP="00547B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134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Методи діагностики  та оцінювання  інноваційного потенціалу підприємства</w:t>
      </w:r>
    </w:p>
    <w:p w:rsidR="006A3923" w:rsidRPr="00B6031D" w:rsidRDefault="006A3923" w:rsidP="00547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112C" w:rsidRPr="00547B86" w:rsidRDefault="00547B86" w:rsidP="00547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DA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 теми</w:t>
      </w:r>
      <w:r w:rsidRPr="00C85DA6">
        <w:rPr>
          <w:rFonts w:ascii="Times New Roman" w:hAnsi="Times New Roman" w:cs="Times New Roman"/>
          <w:sz w:val="28"/>
          <w:szCs w:val="28"/>
          <w:lang w:val="uk-UA"/>
        </w:rPr>
        <w:t>. Значення інноваційної діяльності для 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DA6">
        <w:rPr>
          <w:rFonts w:ascii="Times New Roman" w:hAnsi="Times New Roman" w:cs="Times New Roman"/>
          <w:sz w:val="28"/>
          <w:szCs w:val="28"/>
          <w:lang w:val="uk-UA"/>
        </w:rPr>
        <w:t>підприємств у сьогоденних умовах постійно зростає.  Достатній інноваційний потенціал є основною умовою інноваційного розвитку підприємств, необхідний для реалізації ринкових можливостей,  що відкривається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DA6">
        <w:rPr>
          <w:rFonts w:ascii="Times New Roman" w:hAnsi="Times New Roman" w:cs="Times New Roman"/>
          <w:sz w:val="28"/>
          <w:szCs w:val="28"/>
          <w:lang w:val="uk-UA"/>
        </w:rPr>
        <w:t>ними.  Як свідчить практика,  це питання є актуальним,  але недостатньо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DA6">
        <w:rPr>
          <w:rFonts w:ascii="Times New Roman" w:hAnsi="Times New Roman" w:cs="Times New Roman"/>
          <w:sz w:val="28"/>
          <w:szCs w:val="28"/>
          <w:lang w:val="uk-UA"/>
        </w:rPr>
        <w:t>дослідженим,  що підтверджується неоднозначністю тлумачення 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DA6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 "інноваційний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потенціал", </w:t>
      </w:r>
      <w:r w:rsidRPr="00643C4F">
        <w:rPr>
          <w:rFonts w:ascii="Times New Roman" w:hAnsi="Times New Roman" w:cs="Times New Roman"/>
          <w:sz w:val="28"/>
          <w:szCs w:val="28"/>
          <w:lang w:val="uk-UA"/>
        </w:rPr>
        <w:t>що зумовлює відсутність єдиного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C4F">
        <w:rPr>
          <w:rFonts w:ascii="Times New Roman" w:hAnsi="Times New Roman" w:cs="Times New Roman"/>
          <w:sz w:val="28"/>
          <w:szCs w:val="28"/>
          <w:lang w:val="uk-UA"/>
        </w:rPr>
        <w:t>підходу до його аналізу та оцінювання, та, як наслідок, недосконалість механізму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C4F">
        <w:rPr>
          <w:rFonts w:ascii="Times New Roman" w:hAnsi="Times New Roman" w:cs="Times New Roman"/>
          <w:sz w:val="28"/>
          <w:szCs w:val="28"/>
          <w:lang w:val="uk-UA"/>
        </w:rPr>
        <w:t>інноваційним потенціалом.</w:t>
      </w:r>
      <w:r w:rsidRPr="00C8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B86" w:rsidRPr="002A763C" w:rsidRDefault="00547B86" w:rsidP="00547B8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4260" w:rsidRPr="007A09AF" w:rsidRDefault="00B6031D" w:rsidP="00547B8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921BB4" w:rsidRPr="00921BB4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Постановка проблеми.</w:t>
      </w:r>
      <w:r w:rsidR="0092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260" w:rsidRPr="007A09AF">
        <w:rPr>
          <w:rFonts w:ascii="Times New Roman" w:hAnsi="Times New Roman" w:cs="Times New Roman"/>
          <w:sz w:val="28"/>
          <w:szCs w:val="28"/>
          <w:lang w:val="uk-UA"/>
        </w:rPr>
        <w:t>Розвиток суб'єктів господарської діяльності й економіки країни в цілому може бути забезпечено різними шляхами. Одним із найбільш ефективних на сьогодні є інноваційний шлях. Обов’язковою умовою, яка надає підприємствам змогу розвиватися інноваційним шляхом, є наявність потенціалу інноваційного розвитку</w:t>
      </w:r>
      <w:r w:rsidR="002065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09AF" w:rsidRPr="007A0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260" w:rsidRPr="007A09AF">
        <w:rPr>
          <w:rFonts w:ascii="Times New Roman" w:hAnsi="Times New Roman" w:cs="Times New Roman"/>
          <w:sz w:val="28"/>
          <w:szCs w:val="28"/>
          <w:lang w:val="uk-UA"/>
        </w:rPr>
        <w:t>Діагностика потенціалу інноваційного розвитку і його підсистеми – інноваційного потенціалу – дозволяє оцінити його достатність чи недостатн</w:t>
      </w:r>
      <w:r w:rsidR="007A09AF">
        <w:rPr>
          <w:rFonts w:ascii="Times New Roman" w:hAnsi="Times New Roman" w:cs="Times New Roman"/>
          <w:sz w:val="28"/>
          <w:szCs w:val="28"/>
          <w:lang w:val="uk-UA"/>
        </w:rPr>
        <w:t>ість для інноваційного розвитку.</w:t>
      </w:r>
    </w:p>
    <w:p w:rsidR="00547B86" w:rsidRPr="002A763C" w:rsidRDefault="00547B86" w:rsidP="00547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30C4" w:rsidRPr="00615DEA" w:rsidRDefault="009530C4" w:rsidP="00547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30C4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 останніх досліджень і публікацій</w:t>
      </w:r>
      <w:r w:rsidR="00615D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333ED7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опубліковано ряд робіт дослідників які аналізували особливості інноваційних процесів в економіці, зокрема це Жиц Г. И., </w:t>
      </w:r>
      <w:r w:rsidR="00595CB6">
        <w:rPr>
          <w:rFonts w:ascii="Times New Roman" w:hAnsi="Times New Roman" w:cs="Times New Roman"/>
          <w:sz w:val="28"/>
          <w:szCs w:val="28"/>
          <w:lang w:val="uk-UA"/>
        </w:rPr>
        <w:t>Ганіє</w:t>
      </w:r>
      <w:r w:rsidRPr="00333ED7">
        <w:rPr>
          <w:rFonts w:ascii="Times New Roman" w:hAnsi="Times New Roman" w:cs="Times New Roman"/>
          <w:sz w:val="28"/>
          <w:szCs w:val="28"/>
          <w:lang w:val="uk-UA"/>
        </w:rPr>
        <w:t xml:space="preserve">ва А. К., Заглумина Н. А., Чухрай Н. І., Зінченко В. І., Станиславик Е.В., Карапейчик И.Н. Коваль Н. В. та багато інших. </w:t>
      </w:r>
      <w:r w:rsidR="00595CB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роботах дослідників просліджується </w:t>
      </w:r>
      <w:r w:rsidR="00595CB6">
        <w:rPr>
          <w:rFonts w:ascii="Times New Roman" w:hAnsi="Times New Roman" w:cs="Times New Roman"/>
          <w:sz w:val="28"/>
          <w:szCs w:val="28"/>
          <w:lang w:val="uk-UA"/>
        </w:rPr>
        <w:t xml:space="preserve">деяка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відмінність у підходах до визначення поняття інноваційного потенціалу його структури і як результат різноманітність підходів до його оцінки.</w:t>
      </w:r>
    </w:p>
    <w:p w:rsidR="00547B86" w:rsidRPr="002A763C" w:rsidRDefault="007A09AF" w:rsidP="00547B86">
      <w:pPr>
        <w:pStyle w:val="a4"/>
        <w:jc w:val="both"/>
        <w:rPr>
          <w:b/>
          <w:szCs w:val="28"/>
        </w:rPr>
      </w:pPr>
      <w:r>
        <w:rPr>
          <w:szCs w:val="28"/>
        </w:rPr>
        <w:tab/>
        <w:t xml:space="preserve">        </w:t>
      </w:r>
      <w:r w:rsidR="006C7F61" w:rsidRPr="00C85DA6">
        <w:rPr>
          <w:b/>
          <w:szCs w:val="28"/>
        </w:rPr>
        <w:t xml:space="preserve">  </w:t>
      </w:r>
    </w:p>
    <w:p w:rsidR="00692395" w:rsidRPr="00C85DA6" w:rsidRDefault="00547B86" w:rsidP="00547B86">
      <w:pPr>
        <w:pStyle w:val="a4"/>
        <w:jc w:val="both"/>
        <w:rPr>
          <w:szCs w:val="28"/>
        </w:rPr>
      </w:pPr>
      <w:r w:rsidRPr="002A763C">
        <w:rPr>
          <w:b/>
          <w:i/>
          <w:szCs w:val="28"/>
        </w:rPr>
        <w:tab/>
        <w:t xml:space="preserve">           </w:t>
      </w:r>
      <w:r w:rsidR="00ED5217" w:rsidRPr="00C85DA6">
        <w:rPr>
          <w:b/>
          <w:i/>
          <w:szCs w:val="28"/>
        </w:rPr>
        <w:t>Метою дослідження</w:t>
      </w:r>
      <w:r w:rsidR="00ED5217" w:rsidRPr="00C85DA6">
        <w:rPr>
          <w:szCs w:val="28"/>
        </w:rPr>
        <w:t xml:space="preserve"> є системний аналіз методичних підходів до</w:t>
      </w:r>
      <w:r w:rsidR="006C7F61" w:rsidRPr="00C85DA6">
        <w:rPr>
          <w:szCs w:val="28"/>
        </w:rPr>
        <w:t xml:space="preserve"> </w:t>
      </w:r>
      <w:r w:rsidR="00ED5217" w:rsidRPr="00C85DA6">
        <w:rPr>
          <w:szCs w:val="28"/>
        </w:rPr>
        <w:t>оцінювання інноваційного потенціалу підприємств</w:t>
      </w:r>
      <w:r w:rsidR="00E2383A">
        <w:rPr>
          <w:szCs w:val="28"/>
        </w:rPr>
        <w:t xml:space="preserve"> та </w:t>
      </w:r>
      <w:r w:rsidR="00ED5217" w:rsidRPr="00C85DA6">
        <w:rPr>
          <w:szCs w:val="28"/>
        </w:rPr>
        <w:t>можливостей використання запропонованих методик в практичній діяльності.</w:t>
      </w:r>
      <w:r w:rsidR="00692395" w:rsidRPr="00C85DA6">
        <w:rPr>
          <w:szCs w:val="28"/>
        </w:rPr>
        <w:t xml:space="preserve"> А також дослідження стану інноваційного потенціалу під</w:t>
      </w:r>
      <w:r w:rsidR="002D760A">
        <w:rPr>
          <w:szCs w:val="28"/>
        </w:rPr>
        <w:t xml:space="preserve">приємств України, виділення </w:t>
      </w:r>
      <w:r w:rsidR="002D760A" w:rsidRPr="007D1B8E">
        <w:rPr>
          <w:szCs w:val="28"/>
        </w:rPr>
        <w:t>проблем</w:t>
      </w:r>
      <w:r w:rsidR="00692395" w:rsidRPr="00C85DA6">
        <w:rPr>
          <w:szCs w:val="28"/>
        </w:rPr>
        <w:t xml:space="preserve"> </w:t>
      </w:r>
      <w:r w:rsidR="007D1B8E">
        <w:rPr>
          <w:szCs w:val="28"/>
        </w:rPr>
        <w:t xml:space="preserve">його </w:t>
      </w:r>
      <w:r w:rsidR="00692395" w:rsidRPr="00C85DA6">
        <w:rPr>
          <w:szCs w:val="28"/>
        </w:rPr>
        <w:t>формування та розроблення напрямів активізації.</w:t>
      </w:r>
    </w:p>
    <w:p w:rsidR="00692395" w:rsidRPr="004E3C73" w:rsidRDefault="004E3C73" w:rsidP="00B6031D">
      <w:pPr>
        <w:pStyle w:val="a4"/>
        <w:jc w:val="both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lastRenderedPageBreak/>
        <w:t xml:space="preserve">         </w:t>
      </w:r>
      <w:r w:rsidR="00692395" w:rsidRPr="00C85DA6">
        <w:rPr>
          <w:b/>
          <w:i/>
          <w:szCs w:val="28"/>
        </w:rPr>
        <w:t xml:space="preserve">Для досягнення поставленої мети вирішено такі завдання: </w:t>
      </w:r>
    </w:p>
    <w:p w:rsidR="00692395" w:rsidRPr="00020274" w:rsidRDefault="00595CB6" w:rsidP="00B6031D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35F44">
        <w:rPr>
          <w:szCs w:val="28"/>
        </w:rPr>
        <w:t xml:space="preserve"> </w:t>
      </w:r>
      <w:r w:rsidR="00692395" w:rsidRPr="00020274">
        <w:rPr>
          <w:szCs w:val="28"/>
        </w:rPr>
        <w:t>досліджено різні методики визначення інноваційного потенціалу</w:t>
      </w:r>
      <w:r w:rsidR="007A09AF" w:rsidRPr="00020274">
        <w:rPr>
          <w:szCs w:val="28"/>
        </w:rPr>
        <w:t xml:space="preserve"> </w:t>
      </w:r>
      <w:r w:rsidR="00692395" w:rsidRPr="00020274">
        <w:rPr>
          <w:szCs w:val="28"/>
        </w:rPr>
        <w:t xml:space="preserve">підприємства; </w:t>
      </w:r>
    </w:p>
    <w:p w:rsidR="00C22211" w:rsidRPr="00C22211" w:rsidRDefault="00595CB6" w:rsidP="00B6031D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A09AF" w:rsidRPr="00020274">
        <w:rPr>
          <w:szCs w:val="28"/>
        </w:rPr>
        <w:t>визначено</w:t>
      </w:r>
      <w:r w:rsidR="002D760A" w:rsidRPr="00C22211">
        <w:rPr>
          <w:szCs w:val="28"/>
        </w:rPr>
        <w:t xml:space="preserve"> проблеми</w:t>
      </w:r>
      <w:r w:rsidR="007A09AF" w:rsidRPr="00020274">
        <w:rPr>
          <w:szCs w:val="28"/>
        </w:rPr>
        <w:t xml:space="preserve"> формування інноваційного пот</w:t>
      </w:r>
      <w:r w:rsidR="00020274">
        <w:rPr>
          <w:szCs w:val="28"/>
        </w:rPr>
        <w:t>енціалу українських підприємств;</w:t>
      </w:r>
    </w:p>
    <w:p w:rsidR="00B35F44" w:rsidRPr="002D3C2B" w:rsidRDefault="00595CB6" w:rsidP="00B6031D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35F44">
        <w:rPr>
          <w:szCs w:val="28"/>
        </w:rPr>
        <w:t xml:space="preserve"> </w:t>
      </w:r>
      <w:r w:rsidR="00692395" w:rsidRPr="00C22211">
        <w:rPr>
          <w:szCs w:val="28"/>
        </w:rPr>
        <w:t>обґрунтовано напрями удосконалення інноваційного потенціалу</w:t>
      </w:r>
      <w:r w:rsidR="007A09AF" w:rsidRPr="00C22211">
        <w:rPr>
          <w:szCs w:val="28"/>
        </w:rPr>
        <w:t xml:space="preserve"> українських </w:t>
      </w:r>
      <w:r w:rsidR="00692395" w:rsidRPr="00C22211">
        <w:rPr>
          <w:szCs w:val="28"/>
        </w:rPr>
        <w:t>підприємств</w:t>
      </w:r>
      <w:r w:rsidR="002D760A" w:rsidRPr="00C22211">
        <w:rPr>
          <w:szCs w:val="28"/>
        </w:rPr>
        <w:t>.</w:t>
      </w:r>
      <w:r w:rsidR="00C22211" w:rsidRPr="00C22211">
        <w:rPr>
          <w:szCs w:val="28"/>
        </w:rPr>
        <w:t xml:space="preserve"> </w:t>
      </w:r>
      <w:r w:rsidR="002D3C2B">
        <w:rPr>
          <w:szCs w:val="28"/>
          <w:lang w:val="ru-RU"/>
        </w:rPr>
        <w:tab/>
        <w:t xml:space="preserve">       </w:t>
      </w:r>
      <w:r w:rsidR="001C35A1">
        <w:rPr>
          <w:szCs w:val="28"/>
          <w:lang w:val="ru-RU"/>
        </w:rPr>
        <w:tab/>
        <w:t xml:space="preserve">       </w:t>
      </w:r>
    </w:p>
    <w:p w:rsidR="00B6031D" w:rsidRDefault="001C35A1" w:rsidP="00B6031D">
      <w:pPr>
        <w:pStyle w:val="a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B35F44">
        <w:rPr>
          <w:szCs w:val="28"/>
          <w:lang w:val="ru-RU"/>
        </w:rPr>
        <w:t xml:space="preserve">      </w:t>
      </w:r>
    </w:p>
    <w:p w:rsidR="00B35F44" w:rsidRPr="00B35F44" w:rsidRDefault="00B6031D" w:rsidP="00B6031D">
      <w:pPr>
        <w:pStyle w:val="a4"/>
        <w:jc w:val="both"/>
        <w:rPr>
          <w:b/>
          <w:i/>
          <w:szCs w:val="28"/>
        </w:rPr>
      </w:pPr>
      <w:r>
        <w:rPr>
          <w:szCs w:val="28"/>
          <w:lang w:val="ru-RU"/>
        </w:rPr>
        <w:t xml:space="preserve">         </w:t>
      </w:r>
      <w:r w:rsidR="00B35F44" w:rsidRPr="00B35F44">
        <w:rPr>
          <w:b/>
          <w:i/>
          <w:szCs w:val="28"/>
        </w:rPr>
        <w:t>Виклад основного матеріалу дослідження</w:t>
      </w:r>
    </w:p>
    <w:p w:rsidR="00C22211" w:rsidRPr="00C22211" w:rsidRDefault="00B35F44" w:rsidP="00B6031D">
      <w:pPr>
        <w:pStyle w:val="a4"/>
        <w:jc w:val="both"/>
        <w:rPr>
          <w:szCs w:val="28"/>
        </w:rPr>
      </w:pPr>
      <w:r>
        <w:rPr>
          <w:szCs w:val="28"/>
        </w:rPr>
        <w:tab/>
        <w:t xml:space="preserve">      </w:t>
      </w:r>
      <w:r w:rsidR="00C22211" w:rsidRPr="00C22211">
        <w:rPr>
          <w:szCs w:val="28"/>
        </w:rPr>
        <w:t xml:space="preserve">Загалом, головною метою оцінювання інноваційного потенціалу підприємства є прийняття ефективних управлінських рішень,  спрямованих на вибір та реалізацію стратегії підприємства та поточне управління інноваційною діяльністю, </w:t>
      </w:r>
      <w:r w:rsidR="00C93E91">
        <w:rPr>
          <w:szCs w:val="28"/>
        </w:rPr>
        <w:t>визначення своєї конкурентної позиції. Відповідно до результатів оцінки інноваційного потенціалу приймаються рішення щодо</w:t>
      </w:r>
      <w:r w:rsidR="008030B5">
        <w:rPr>
          <w:szCs w:val="28"/>
        </w:rPr>
        <w:t xml:space="preserve"> можливості розширення бізнесу та необхідності </w:t>
      </w:r>
      <w:r w:rsidR="00C22211" w:rsidRPr="00C22211">
        <w:rPr>
          <w:szCs w:val="28"/>
        </w:rPr>
        <w:t>для залучення додаткових фінансових ресурсів (стр</w:t>
      </w:r>
      <w:r w:rsidR="008030B5">
        <w:rPr>
          <w:szCs w:val="28"/>
        </w:rPr>
        <w:t>атегічного інвестора, партнера). Т</w:t>
      </w:r>
      <w:r w:rsidR="00C22211" w:rsidRPr="00C22211">
        <w:rPr>
          <w:szCs w:val="28"/>
        </w:rPr>
        <w:t xml:space="preserve">акож </w:t>
      </w:r>
      <w:r w:rsidR="008030B5">
        <w:rPr>
          <w:szCs w:val="28"/>
        </w:rPr>
        <w:t>оцінка інноваційного потенціалу допомагає визначенню</w:t>
      </w:r>
      <w:r w:rsidR="00C22211" w:rsidRPr="00C22211">
        <w:rPr>
          <w:szCs w:val="28"/>
        </w:rPr>
        <w:t xml:space="preserve"> вартості бізнесу з метою його продажу. </w:t>
      </w:r>
    </w:p>
    <w:p w:rsidR="00C22211" w:rsidRPr="00DD547B" w:rsidRDefault="00C22211" w:rsidP="00B603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D8F">
        <w:rPr>
          <w:rFonts w:ascii="Times New Roman" w:hAnsi="Times New Roman" w:cs="Times New Roman"/>
          <w:sz w:val="28"/>
          <w:szCs w:val="28"/>
          <w:lang w:val="uk-UA"/>
        </w:rPr>
        <w:t>Аналіз методичних рекомендацій з оцінювання інноваційного потенціалу,  представлених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47B">
        <w:rPr>
          <w:rFonts w:ascii="Times New Roman" w:hAnsi="Times New Roman" w:cs="Times New Roman"/>
          <w:sz w:val="28"/>
          <w:szCs w:val="28"/>
          <w:lang w:val="uk-UA"/>
        </w:rPr>
        <w:t>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ових джерелах </w:t>
      </w:r>
      <w:r w:rsidRPr="00DD547B">
        <w:rPr>
          <w:rFonts w:ascii="Times New Roman" w:hAnsi="Times New Roman" w:cs="Times New Roman"/>
          <w:sz w:val="28"/>
          <w:szCs w:val="28"/>
          <w:lang w:val="uk-UA"/>
        </w:rPr>
        <w:t>дав можливість зробити висновок про надзвичайну їхню суперечливість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47B">
        <w:rPr>
          <w:rFonts w:ascii="Times New Roman" w:hAnsi="Times New Roman" w:cs="Times New Roman"/>
          <w:sz w:val="28"/>
          <w:szCs w:val="28"/>
          <w:lang w:val="uk-UA"/>
        </w:rPr>
        <w:t>та наявність ряду недоліків, які заважають їх практичному використанню:</w:t>
      </w:r>
    </w:p>
    <w:p w:rsidR="00C22211" w:rsidRPr="00DB6D8F" w:rsidRDefault="00C22211" w:rsidP="00B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D8F">
        <w:rPr>
          <w:rFonts w:ascii="Times New Roman" w:hAnsi="Times New Roman" w:cs="Times New Roman"/>
          <w:sz w:val="28"/>
          <w:szCs w:val="28"/>
          <w:lang w:val="uk-UA"/>
        </w:rPr>
        <w:t>- спостерігається підміна понять шляхом ототожнювання інноваційного потенціалу з 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видами потенціалів (інтелектуальним, трудовим, н</w:t>
      </w:r>
      <w:r>
        <w:rPr>
          <w:rFonts w:ascii="Times New Roman" w:hAnsi="Times New Roman" w:cs="Times New Roman"/>
          <w:sz w:val="28"/>
          <w:szCs w:val="28"/>
          <w:lang w:val="uk-UA"/>
        </w:rPr>
        <w:t>ауково-технічним, фінансовим) [1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], що призводить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до необ’єктивності такої оцінки;</w:t>
      </w:r>
    </w:p>
    <w:p w:rsidR="00C22211" w:rsidRPr="00DB6D8F" w:rsidRDefault="00C22211" w:rsidP="00B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D8F">
        <w:rPr>
          <w:rFonts w:ascii="Times New Roman" w:hAnsi="Times New Roman" w:cs="Times New Roman"/>
          <w:sz w:val="28"/>
          <w:szCs w:val="28"/>
          <w:lang w:val="uk-UA"/>
        </w:rPr>
        <w:t>- оскільки існують різні підходи до визначення структури інноваційного потенціалу підприємства, застосовуються різні системи показників для характеристики окремих складових, які відрізняються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за кількістю показників,  так і за їх змістом,  що може призвести до отримання результатів, 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суперечать один одному [4-9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];</w:t>
      </w:r>
    </w:p>
    <w:p w:rsidR="00C22211" w:rsidRPr="00DB6D8F" w:rsidRDefault="00C22211" w:rsidP="00B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D8F">
        <w:rPr>
          <w:rFonts w:ascii="Times New Roman" w:hAnsi="Times New Roman" w:cs="Times New Roman"/>
          <w:sz w:val="28"/>
          <w:szCs w:val="28"/>
          <w:lang w:val="uk-UA"/>
        </w:rPr>
        <w:t>- для розрахунку ряду показників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а додаткова інформаційна база [1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];</w:t>
      </w:r>
    </w:p>
    <w:p w:rsidR="00C22211" w:rsidRPr="00DB6D8F" w:rsidRDefault="00C22211" w:rsidP="00B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D8F">
        <w:rPr>
          <w:rFonts w:ascii="Times New Roman" w:hAnsi="Times New Roman" w:cs="Times New Roman"/>
          <w:sz w:val="28"/>
          <w:szCs w:val="28"/>
          <w:lang w:val="uk-UA"/>
        </w:rPr>
        <w:t>- застосування експертних оцінок в процесі оцінювання інноваційного потенціалу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призводить до надзвичайно високої суб’єкти</w:t>
      </w:r>
      <w:r>
        <w:rPr>
          <w:rFonts w:ascii="Times New Roman" w:hAnsi="Times New Roman" w:cs="Times New Roman"/>
          <w:sz w:val="28"/>
          <w:szCs w:val="28"/>
          <w:lang w:val="uk-UA"/>
        </w:rPr>
        <w:t>вності результатів оцінювання [1; 3-5; 8-12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];  експертн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процедури є досить дорогими; відсутня можливість математично перевірити достовірність отриманих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результатів; </w:t>
      </w:r>
    </w:p>
    <w:p w:rsidR="00C22211" w:rsidRPr="00DB6D8F" w:rsidRDefault="00C22211" w:rsidP="00B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D8F">
        <w:rPr>
          <w:rFonts w:ascii="Times New Roman" w:hAnsi="Times New Roman" w:cs="Times New Roman"/>
          <w:sz w:val="28"/>
          <w:szCs w:val="28"/>
          <w:lang w:val="uk-UA"/>
        </w:rPr>
        <w:t>- використання для визначення інтегрального показника інноваційного потенціалу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методу додавання індивідуальних показників,  що входять в систему,  призводить до того, 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>отриманий показн</w:t>
      </w:r>
      <w:r>
        <w:rPr>
          <w:rFonts w:ascii="Times New Roman" w:hAnsi="Times New Roman" w:cs="Times New Roman"/>
          <w:sz w:val="28"/>
          <w:szCs w:val="28"/>
          <w:lang w:val="uk-UA"/>
        </w:rPr>
        <w:t>ик не має економічного сенсу [ 1; 4; 5; 8</w:t>
      </w:r>
      <w:r w:rsidRPr="00DB6D8F">
        <w:rPr>
          <w:rFonts w:ascii="Times New Roman" w:hAnsi="Times New Roman" w:cs="Times New Roman"/>
          <w:sz w:val="28"/>
          <w:szCs w:val="28"/>
          <w:lang w:val="uk-UA"/>
        </w:rPr>
        <w:t xml:space="preserve">]; </w:t>
      </w:r>
    </w:p>
    <w:p w:rsidR="00C22211" w:rsidRPr="00DB175C" w:rsidRDefault="00C22211" w:rsidP="00B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D8F">
        <w:rPr>
          <w:rFonts w:ascii="Times New Roman" w:hAnsi="Times New Roman" w:cs="Times New Roman"/>
          <w:sz w:val="28"/>
          <w:szCs w:val="28"/>
          <w:lang w:val="uk-UA"/>
        </w:rPr>
        <w:t xml:space="preserve">- ряд методик з оцінки інноваційного потенціалу підприємств надзвичайно </w:t>
      </w:r>
      <w:r w:rsidRPr="00DB175C">
        <w:rPr>
          <w:rFonts w:ascii="Times New Roman" w:hAnsi="Times New Roman" w:cs="Times New Roman"/>
          <w:sz w:val="28"/>
          <w:szCs w:val="28"/>
          <w:lang w:val="uk-UA"/>
        </w:rPr>
        <w:t>громіздкі, перевантажені великою кількістю показників [4].</w:t>
      </w:r>
      <w:r w:rsidR="00A34E21"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923" w:rsidRPr="006A3923" w:rsidRDefault="00846658" w:rsidP="00B60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2211" w:rsidRPr="00DB175C">
        <w:rPr>
          <w:rFonts w:ascii="Times New Roman" w:hAnsi="Times New Roman" w:cs="Times New Roman"/>
          <w:sz w:val="28"/>
          <w:szCs w:val="28"/>
          <w:lang w:val="uk-UA"/>
        </w:rPr>
        <w:t>В цілому хочемо звернути увагу на роботу  А.</w:t>
      </w:r>
      <w:r w:rsidR="00DB175C"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К.  Ганієвої</w:t>
      </w:r>
      <w:r w:rsidR="00C22211"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[11],  яка</w:t>
      </w:r>
      <w:r w:rsidR="00A34E21"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E21" w:rsidRPr="00DB175C">
        <w:rPr>
          <w:rFonts w:ascii="Times New Roman" w:hAnsi="Times New Roman" w:cs="Times New Roman"/>
          <w:sz w:val="28"/>
          <w:szCs w:val="28"/>
        </w:rPr>
        <w:t>аналізу рівня ІПП розробила систему оцінки за допомогою кластер-</w:t>
      </w:r>
      <w:r w:rsidRPr="00DB175C">
        <w:rPr>
          <w:rFonts w:ascii="Times New Roman" w:hAnsi="Times New Roman" w:cs="Times New Roman"/>
          <w:sz w:val="28"/>
          <w:szCs w:val="28"/>
        </w:rPr>
        <w:t>чинників</w:t>
      </w:r>
      <w:r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E21" w:rsidRPr="00DB175C">
        <w:rPr>
          <w:rFonts w:ascii="Times New Roman" w:hAnsi="Times New Roman" w:cs="Times New Roman"/>
          <w:sz w:val="28"/>
          <w:szCs w:val="28"/>
        </w:rPr>
        <w:t>(критеріїв) та</w:t>
      </w:r>
      <w:r w:rsidR="00A34E21"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E21" w:rsidRPr="00DB175C">
        <w:rPr>
          <w:rFonts w:ascii="Times New Roman" w:hAnsi="Times New Roman" w:cs="Times New Roman"/>
          <w:sz w:val="28"/>
          <w:szCs w:val="28"/>
        </w:rPr>
        <w:t>основних показників, які їх характеризують. Значення показника темпів зростання ІПП визначається експертним</w:t>
      </w:r>
      <w:r w:rsidR="00A34E21"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E21" w:rsidRPr="00DB175C">
        <w:rPr>
          <w:rFonts w:ascii="Times New Roman" w:hAnsi="Times New Roman" w:cs="Times New Roman"/>
          <w:sz w:val="28"/>
          <w:szCs w:val="28"/>
        </w:rPr>
        <w:t>шляхом за формулою:</w:t>
      </w:r>
    </w:p>
    <w:p w:rsidR="00846658" w:rsidRPr="006A3923" w:rsidRDefault="00547B86" w:rsidP="00B60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ІП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і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д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і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б</m:t>
                      </m:r>
                    </m:sup>
                  </m:sSub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</m:t>
              </m:r>
            </m:sub>
          </m:sSub>
        </m:oMath>
      </m:oMathPara>
      <w:r>
        <w:rPr>
          <w:sz w:val="28"/>
          <w:szCs w:val="28"/>
        </w:rPr>
        <w:br/>
      </w:r>
    </w:p>
    <w:p w:rsidR="00DB175C" w:rsidRPr="00DB175C" w:rsidRDefault="00DB175C" w:rsidP="00B6031D">
      <w:pPr>
        <w:widowControl w:val="0"/>
        <w:tabs>
          <w:tab w:val="left" w:pos="1403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B175C">
        <w:rPr>
          <w:rFonts w:ascii="Times New Roman" w:eastAsia="Arial" w:hAnsi="Times New Roman" w:cs="Times New Roman"/>
          <w:w w:val="99"/>
          <w:sz w:val="28"/>
          <w:szCs w:val="28"/>
        </w:rPr>
        <w:t>де ∆</w:t>
      </w:r>
      <w:r w:rsidRPr="00DB175C">
        <w:rPr>
          <w:rFonts w:ascii="Times New Roman" w:eastAsia="Arial" w:hAnsi="Times New Roman" w:cs="Times New Roman"/>
          <w:sz w:val="28"/>
          <w:szCs w:val="28"/>
        </w:rPr>
        <w:t>ІПt – показник темпів зростання ІПП за період часу t;</w:t>
      </w:r>
    </w:p>
    <w:p w:rsidR="00DB175C" w:rsidRPr="00DB175C" w:rsidRDefault="00DB175C" w:rsidP="00B6031D">
      <w:pPr>
        <w:widowControl w:val="0"/>
        <w:tabs>
          <w:tab w:val="left" w:pos="1403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B175C">
        <w:rPr>
          <w:rFonts w:ascii="Times New Roman" w:eastAsia="Arial" w:hAnsi="Times New Roman" w:cs="Times New Roman"/>
          <w:sz w:val="28"/>
          <w:szCs w:val="28"/>
        </w:rPr>
        <w:t>Од – оцінка і-го кластер-чинника ІПП (у балах або у відповідній розмірності);</w:t>
      </w:r>
    </w:p>
    <w:p w:rsidR="00DB175C" w:rsidRPr="00DB175C" w:rsidRDefault="00DB175C" w:rsidP="00B60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B175C">
        <w:rPr>
          <w:rFonts w:ascii="Times New Roman" w:eastAsia="Arial" w:hAnsi="Times New Roman" w:cs="Times New Roman"/>
          <w:sz w:val="28"/>
          <w:szCs w:val="28"/>
        </w:rPr>
        <w:t>Об – оцінка і-го кластер-чинника ІП бази порівняння (у балах або у відповідній</w:t>
      </w:r>
      <w:r w:rsidRPr="00DB175C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DB175C">
        <w:rPr>
          <w:rFonts w:ascii="Times New Roman" w:eastAsia="Arial" w:hAnsi="Times New Roman" w:cs="Times New Roman"/>
          <w:sz w:val="28"/>
          <w:szCs w:val="28"/>
        </w:rPr>
        <w:t>розмірності);</w:t>
      </w:r>
    </w:p>
    <w:p w:rsidR="00846658" w:rsidRPr="00547B86" w:rsidRDefault="00DB175C" w:rsidP="00B60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B175C">
        <w:rPr>
          <w:rFonts w:ascii="Times New Roman" w:eastAsia="Arial" w:hAnsi="Times New Roman" w:cs="Times New Roman"/>
          <w:sz w:val="28"/>
          <w:szCs w:val="28"/>
        </w:rPr>
        <w:t>Bi – коефіцієнт вагомості і-го кластер-чинника.</w:t>
      </w:r>
    </w:p>
    <w:p w:rsidR="00C22211" w:rsidRPr="00DB175C" w:rsidRDefault="00846658" w:rsidP="00B60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Також, Ганієва </w:t>
      </w:r>
      <w:r w:rsidR="00C22211"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виділяє три підходи до оцінювання інноваційного потенціалу підприємства:  </w:t>
      </w:r>
    </w:p>
    <w:p w:rsidR="00C22211" w:rsidRPr="00DB175C" w:rsidRDefault="00C22211" w:rsidP="00B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75C">
        <w:rPr>
          <w:rFonts w:ascii="Times New Roman" w:hAnsi="Times New Roman" w:cs="Times New Roman"/>
          <w:sz w:val="28"/>
          <w:szCs w:val="28"/>
          <w:lang w:val="uk-UA"/>
        </w:rPr>
        <w:t>-  прогностичний (для оцінки стану ІПП необхідно порівняти фактичний стан ІП об’єкта,  що аналізується,  з концептуальною моделлю ІПП з метою виявлення невикористаних можливостей та причин,  що зумовлюють невідповідність бажаного і фактичного стану інноваційного потенціалу підприємства)</w:t>
      </w:r>
      <w:r w:rsidR="00846658" w:rsidRPr="00DB17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211" w:rsidRPr="00DB175C" w:rsidRDefault="00C22211" w:rsidP="00B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75C">
        <w:rPr>
          <w:rFonts w:ascii="Times New Roman" w:hAnsi="Times New Roman" w:cs="Times New Roman"/>
          <w:sz w:val="28"/>
          <w:szCs w:val="28"/>
          <w:lang w:val="uk-UA"/>
        </w:rPr>
        <w:t>-  діагностичний (головна риса –  виявлення зв’язку «причина –  наслідок», «часткове –  ціле»; розглядає об’єкт в статиці і просторово-поелементному розрізі;  досліджується синергетичний ефект від заходів, що реалізуються в системі управління інноваційним потенціалом)</w:t>
      </w:r>
      <w:r w:rsidR="00846658" w:rsidRPr="00DB17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1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211" w:rsidRPr="00DB175C" w:rsidRDefault="00C22211" w:rsidP="00B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75C">
        <w:rPr>
          <w:rFonts w:ascii="Times New Roman" w:hAnsi="Times New Roman" w:cs="Times New Roman"/>
          <w:sz w:val="28"/>
          <w:szCs w:val="28"/>
          <w:lang w:val="uk-UA"/>
        </w:rPr>
        <w:t>-  міжгосподарський порівняльний підхід має велике значення при оцінці інноваційного потенціалу на порівняних підприємствах,  а також при порівнянні інноваційного потенціалу з нормативом</w:t>
      </w:r>
      <w:r w:rsidR="00846658" w:rsidRPr="00DB17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55D" w:rsidRDefault="00547B86" w:rsidP="00B6031D">
      <w:pPr>
        <w:pStyle w:val="ac"/>
        <w:ind w:firstLine="360"/>
        <w:rPr>
          <w:color w:val="auto"/>
          <w:sz w:val="28"/>
          <w:szCs w:val="28"/>
          <w:lang w:val="uk-UA"/>
        </w:rPr>
      </w:pPr>
      <w:r w:rsidRPr="00547B86">
        <w:rPr>
          <w:color w:val="auto"/>
          <w:sz w:val="28"/>
          <w:lang w:val="uk-UA"/>
        </w:rPr>
        <w:t xml:space="preserve">      </w:t>
      </w:r>
      <w:r w:rsidR="00893594">
        <w:rPr>
          <w:color w:val="auto"/>
          <w:sz w:val="28"/>
          <w:lang w:val="uk-UA"/>
        </w:rPr>
        <w:t xml:space="preserve">Після проведеного аналізу робіт щодо стану інноваційного потенціалу українських підприємств, можемо зробити висновок, що його рівень </w:t>
      </w:r>
      <w:r w:rsidR="00893594" w:rsidRPr="008478A3">
        <w:rPr>
          <w:color w:val="auto"/>
          <w:sz w:val="28"/>
          <w:szCs w:val="28"/>
          <w:lang w:val="uk-UA"/>
        </w:rPr>
        <w:t>безпосередньо залежить від інноваційно</w:t>
      </w:r>
      <w:r w:rsidR="00893594">
        <w:rPr>
          <w:color w:val="auto"/>
          <w:sz w:val="28"/>
          <w:szCs w:val="28"/>
          <w:lang w:val="uk-UA"/>
        </w:rPr>
        <w:t>го сприйняття</w:t>
      </w:r>
      <w:r w:rsidR="00893594" w:rsidRPr="008478A3">
        <w:rPr>
          <w:color w:val="auto"/>
          <w:sz w:val="28"/>
          <w:szCs w:val="28"/>
          <w:lang w:val="uk-UA"/>
        </w:rPr>
        <w:t xml:space="preserve">. </w:t>
      </w:r>
    </w:p>
    <w:p w:rsidR="00CE555D" w:rsidRPr="00CE555D" w:rsidRDefault="00CE555D" w:rsidP="00B60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55D">
        <w:rPr>
          <w:rFonts w:ascii="Times New Roman" w:hAnsi="Times New Roman" w:cs="Times New Roman"/>
          <w:sz w:val="28"/>
          <w:szCs w:val="28"/>
          <w:lang w:val="uk-UA"/>
        </w:rPr>
        <w:t>Під інноваційн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CE5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сприйняттям</w:t>
      </w:r>
      <w:r w:rsidRPr="00CE555D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промислового підприємства розуміє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CE555D">
        <w:rPr>
          <w:rFonts w:ascii="Times New Roman" w:hAnsi="Times New Roman" w:cs="Times New Roman"/>
          <w:sz w:val="28"/>
          <w:szCs w:val="28"/>
          <w:lang w:val="uk-UA"/>
        </w:rPr>
        <w:t>ся ступінь його готовності, зацікавленості та можливості постійно оновлювати фактори внутрішнього середовища шляхом виявлення інновацій та оцінки необхідності їх впровадження для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55D">
        <w:rPr>
          <w:rFonts w:ascii="Times New Roman" w:hAnsi="Times New Roman" w:cs="Times New Roman"/>
          <w:sz w:val="28"/>
          <w:szCs w:val="28"/>
          <w:lang w:val="uk-UA"/>
        </w:rPr>
        <w:t>конкурентоспроможності [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E555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93594" w:rsidRPr="008478A3" w:rsidRDefault="00700222" w:rsidP="00B6031D">
      <w:pPr>
        <w:pStyle w:val="ac"/>
        <w:ind w:firstLine="36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Загалом, м</w:t>
      </w:r>
      <w:r w:rsidR="00981FAD">
        <w:rPr>
          <w:color w:val="auto"/>
          <w:sz w:val="28"/>
          <w:szCs w:val="28"/>
          <w:lang w:val="uk-UA"/>
        </w:rPr>
        <w:t>ожна виділити такі</w:t>
      </w:r>
      <w:r w:rsidR="00893594" w:rsidRPr="008478A3">
        <w:rPr>
          <w:color w:val="auto"/>
          <w:sz w:val="28"/>
          <w:szCs w:val="28"/>
          <w:lang w:val="uk-UA"/>
        </w:rPr>
        <w:t xml:space="preserve"> етапи розвитку інноваційно</w:t>
      </w:r>
      <w:r w:rsidR="00893594">
        <w:rPr>
          <w:color w:val="auto"/>
          <w:sz w:val="28"/>
          <w:szCs w:val="28"/>
          <w:lang w:val="uk-UA"/>
        </w:rPr>
        <w:t>го</w:t>
      </w:r>
      <w:r w:rsidR="00893594" w:rsidRPr="008478A3">
        <w:rPr>
          <w:color w:val="auto"/>
          <w:sz w:val="28"/>
          <w:szCs w:val="28"/>
          <w:lang w:val="uk-UA"/>
        </w:rPr>
        <w:t xml:space="preserve"> сприйнят</w:t>
      </w:r>
      <w:r w:rsidR="00893594">
        <w:rPr>
          <w:color w:val="auto"/>
          <w:sz w:val="28"/>
          <w:szCs w:val="28"/>
          <w:lang w:val="uk-UA"/>
        </w:rPr>
        <w:t>тя</w:t>
      </w:r>
      <w:r w:rsidR="00893594" w:rsidRPr="008478A3">
        <w:rPr>
          <w:color w:val="auto"/>
          <w:sz w:val="28"/>
          <w:szCs w:val="28"/>
          <w:lang w:val="uk-UA"/>
        </w:rPr>
        <w:t xml:space="preserve"> включають:</w:t>
      </w:r>
    </w:p>
    <w:p w:rsidR="003D0A5C" w:rsidRDefault="003D0A5C" w:rsidP="00B6031D">
      <w:pPr>
        <w:pStyle w:val="ac"/>
        <w:numPr>
          <w:ilvl w:val="0"/>
          <w:numId w:val="22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93594" w:rsidRPr="008478A3">
        <w:rPr>
          <w:sz w:val="28"/>
          <w:szCs w:val="28"/>
          <w:lang w:val="uk-UA"/>
        </w:rPr>
        <w:t>цінка підготовленості підприємства до інновацій;</w:t>
      </w:r>
    </w:p>
    <w:p w:rsidR="003D0A5C" w:rsidRDefault="003D0A5C" w:rsidP="00B6031D">
      <w:pPr>
        <w:pStyle w:val="ac"/>
        <w:numPr>
          <w:ilvl w:val="0"/>
          <w:numId w:val="22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93594" w:rsidRPr="003D0A5C">
        <w:rPr>
          <w:sz w:val="28"/>
          <w:szCs w:val="28"/>
          <w:lang w:val="uk-UA"/>
        </w:rPr>
        <w:t>озробка і здійснення програми впровадження інновацій;</w:t>
      </w:r>
    </w:p>
    <w:p w:rsidR="003D0A5C" w:rsidRDefault="003D0A5C" w:rsidP="00B6031D">
      <w:pPr>
        <w:pStyle w:val="ac"/>
        <w:numPr>
          <w:ilvl w:val="0"/>
          <w:numId w:val="22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93594" w:rsidRPr="003D0A5C">
        <w:rPr>
          <w:sz w:val="28"/>
          <w:szCs w:val="28"/>
          <w:lang w:val="uk-UA"/>
        </w:rPr>
        <w:t>онтроль реалізації програми впровадження інновацій;</w:t>
      </w:r>
    </w:p>
    <w:p w:rsidR="00893594" w:rsidRPr="003D0A5C" w:rsidRDefault="003D0A5C" w:rsidP="00B6031D">
      <w:pPr>
        <w:pStyle w:val="ac"/>
        <w:numPr>
          <w:ilvl w:val="0"/>
          <w:numId w:val="22"/>
        </w:numPr>
        <w:ind w:left="0"/>
        <w:rPr>
          <w:sz w:val="28"/>
          <w:szCs w:val="28"/>
          <w:lang w:val="uk-UA"/>
        </w:rPr>
      </w:pPr>
      <w:r w:rsidRPr="003D0A5C">
        <w:rPr>
          <w:sz w:val="28"/>
          <w:szCs w:val="28"/>
          <w:lang w:val="uk-UA"/>
        </w:rPr>
        <w:t>м</w:t>
      </w:r>
      <w:r w:rsidR="00893594" w:rsidRPr="003D0A5C">
        <w:rPr>
          <w:sz w:val="28"/>
          <w:szCs w:val="28"/>
          <w:lang w:val="uk-UA"/>
        </w:rPr>
        <w:t>етодичні вказівк</w:t>
      </w:r>
      <w:r w:rsidR="00700222">
        <w:rPr>
          <w:sz w:val="28"/>
          <w:szCs w:val="28"/>
          <w:lang w:val="uk-UA"/>
        </w:rPr>
        <w:t>и по формуванню лінії поведінки</w:t>
      </w:r>
      <w:r w:rsidR="00700222" w:rsidRPr="00CE555D">
        <w:rPr>
          <w:sz w:val="28"/>
          <w:szCs w:val="28"/>
          <w:lang w:val="uk-UA"/>
        </w:rPr>
        <w:t>[</w:t>
      </w:r>
      <w:r w:rsidR="00700222">
        <w:rPr>
          <w:sz w:val="28"/>
          <w:szCs w:val="28"/>
          <w:lang w:val="uk-UA"/>
        </w:rPr>
        <w:t>13</w:t>
      </w:r>
      <w:r w:rsidR="00700222" w:rsidRPr="00CE555D">
        <w:rPr>
          <w:sz w:val="28"/>
          <w:szCs w:val="28"/>
          <w:lang w:val="uk-UA"/>
        </w:rPr>
        <w:t>].</w:t>
      </w:r>
    </w:p>
    <w:p w:rsidR="00B6031D" w:rsidRDefault="00B6031D" w:rsidP="00547B86">
      <w:pPr>
        <w:pStyle w:val="ac"/>
        <w:rPr>
          <w:sz w:val="28"/>
          <w:szCs w:val="28"/>
          <w:lang w:val="uk-UA"/>
        </w:rPr>
      </w:pPr>
    </w:p>
    <w:p w:rsidR="00981FAD" w:rsidRDefault="00B6031D" w:rsidP="00547B86">
      <w:pPr>
        <w:pStyle w:val="ac"/>
        <w:rPr>
          <w:sz w:val="28"/>
          <w:szCs w:val="28"/>
          <w:lang w:val="uk-UA"/>
        </w:rPr>
      </w:pPr>
      <w:r w:rsidRPr="00B6031D">
        <w:rPr>
          <w:b/>
          <w:i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>. П</w:t>
      </w:r>
      <w:r w:rsidR="00981FAD">
        <w:rPr>
          <w:sz w:val="28"/>
          <w:szCs w:val="28"/>
          <w:lang w:val="uk-UA"/>
        </w:rPr>
        <w:t xml:space="preserve">ісля проведеного дослідження можемо зробити висновок, що </w:t>
      </w:r>
      <w:r w:rsidR="00893594">
        <w:rPr>
          <w:sz w:val="28"/>
          <w:szCs w:val="28"/>
          <w:lang w:val="uk-UA"/>
        </w:rPr>
        <w:t xml:space="preserve"> </w:t>
      </w:r>
      <w:r w:rsidR="00981FAD">
        <w:rPr>
          <w:sz w:val="28"/>
          <w:szCs w:val="28"/>
          <w:lang w:val="uk-UA"/>
        </w:rPr>
        <w:t xml:space="preserve">рівень </w:t>
      </w:r>
      <w:r w:rsidR="00893594">
        <w:rPr>
          <w:sz w:val="28"/>
          <w:szCs w:val="28"/>
          <w:lang w:val="uk-UA"/>
        </w:rPr>
        <w:t xml:space="preserve">інноваційної діяльності українських підприємств </w:t>
      </w:r>
      <w:r w:rsidR="00981FAD">
        <w:rPr>
          <w:sz w:val="28"/>
          <w:szCs w:val="28"/>
          <w:lang w:val="uk-UA"/>
        </w:rPr>
        <w:t xml:space="preserve">не є достатнім, тому </w:t>
      </w:r>
      <w:r w:rsidR="00893594">
        <w:rPr>
          <w:sz w:val="28"/>
          <w:szCs w:val="28"/>
          <w:lang w:val="uk-UA"/>
        </w:rPr>
        <w:t>необхідно впроваджувати такі заходи:</w:t>
      </w:r>
    </w:p>
    <w:p w:rsidR="00981FAD" w:rsidRDefault="00981FAD" w:rsidP="00547B86">
      <w:pPr>
        <w:pStyle w:val="ac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активного</w:t>
      </w:r>
      <w:r w:rsidR="00893594" w:rsidRPr="00981FAD">
        <w:rPr>
          <w:sz w:val="28"/>
          <w:szCs w:val="28"/>
          <w:lang w:val="uk-UA"/>
        </w:rPr>
        <w:t xml:space="preserve"> впровадження інновацій, що реалізовується шляхом: значного скорочення періоду часу між науковими розробками і впровадженням їх у виробництво</w:t>
      </w:r>
      <w:r>
        <w:rPr>
          <w:sz w:val="28"/>
          <w:szCs w:val="28"/>
          <w:lang w:val="uk-UA"/>
        </w:rPr>
        <w:t>;</w:t>
      </w:r>
    </w:p>
    <w:p w:rsidR="00981FAD" w:rsidRDefault="00981FAD" w:rsidP="00547B86">
      <w:pPr>
        <w:pStyle w:val="ac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93594" w:rsidRPr="00981FAD">
        <w:rPr>
          <w:sz w:val="28"/>
          <w:szCs w:val="28"/>
          <w:lang w:val="uk-UA"/>
        </w:rPr>
        <w:t>тимулюва</w:t>
      </w:r>
      <w:r w:rsidR="00E2383A" w:rsidRPr="00981FAD">
        <w:rPr>
          <w:sz w:val="28"/>
          <w:szCs w:val="28"/>
          <w:lang w:val="uk-UA"/>
        </w:rPr>
        <w:t>ння реалізації інновацій шляхом</w:t>
      </w:r>
      <w:r w:rsidR="00893594" w:rsidRPr="00981FAD">
        <w:rPr>
          <w:sz w:val="28"/>
          <w:szCs w:val="28"/>
          <w:lang w:val="uk-UA"/>
        </w:rPr>
        <w:t xml:space="preserve"> стимулювання виходу на нові ринки і використання власних технологічних, організаційних та економічних інновацій</w:t>
      </w:r>
      <w:r w:rsidR="00E2383A" w:rsidRPr="00981FAD">
        <w:rPr>
          <w:sz w:val="28"/>
          <w:szCs w:val="28"/>
          <w:lang w:val="uk-UA"/>
        </w:rPr>
        <w:t>.</w:t>
      </w:r>
    </w:p>
    <w:p w:rsidR="00981FAD" w:rsidRDefault="00981FAD" w:rsidP="00547B86">
      <w:pPr>
        <w:pStyle w:val="ac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93594" w:rsidRPr="00981FAD">
        <w:rPr>
          <w:sz w:val="28"/>
          <w:szCs w:val="28"/>
          <w:lang w:val="uk-UA"/>
        </w:rPr>
        <w:t>адання інвестиціям інноваційного характеру із залученням фондів ЄС</w:t>
      </w:r>
      <w:r>
        <w:rPr>
          <w:sz w:val="28"/>
          <w:szCs w:val="28"/>
          <w:lang w:val="uk-UA"/>
        </w:rPr>
        <w:t>;</w:t>
      </w:r>
    </w:p>
    <w:p w:rsidR="00CE555D" w:rsidRPr="00981FAD" w:rsidRDefault="00981FAD" w:rsidP="00547B86">
      <w:pPr>
        <w:pStyle w:val="ac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якісного</w:t>
      </w:r>
      <w:r w:rsidR="00893594" w:rsidRPr="00981FAD">
        <w:rPr>
          <w:sz w:val="28"/>
          <w:szCs w:val="28"/>
          <w:lang w:val="uk-UA"/>
        </w:rPr>
        <w:t xml:space="preserve"> оновлення людського капіталу за рахунок: підвищення чутливості до сприйняття нових наукових розробок</w:t>
      </w:r>
      <w:r w:rsidRPr="00981FAD">
        <w:rPr>
          <w:sz w:val="28"/>
          <w:szCs w:val="28"/>
          <w:lang w:val="uk-UA"/>
        </w:rPr>
        <w:t>.</w:t>
      </w:r>
    </w:p>
    <w:p w:rsidR="00547B86" w:rsidRPr="002A763C" w:rsidRDefault="00547B86" w:rsidP="00547B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4EE" w:rsidRPr="00D230C1" w:rsidRDefault="007134EE" w:rsidP="00547B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30C1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7134EE" w:rsidRPr="00444802" w:rsidRDefault="007134E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E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. Маслов Г. А.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 xml:space="preserve"> Оценка уровня инновационного потенциала / Г. А. Маслов // Аудит и финансовый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анализ. – 2007. – №4. – С. 251-253.</w:t>
      </w:r>
    </w:p>
    <w:p w:rsidR="00E3112C" w:rsidRPr="00444802" w:rsidRDefault="007134E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EB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Карапейчик И.Н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. Подходы к измерению инновационного потенциала промышленных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предприятий / И.Н. Карапейчик // Актуальні проблеми економіки. – 2010. – №5. – С. 101-110.</w:t>
      </w:r>
    </w:p>
    <w:p w:rsidR="007134EE" w:rsidRPr="00444802" w:rsidRDefault="007134E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EB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Станиславик Е.В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. Модель оценки инновационного потенциала промышленного предприятия/ Е.В. Станиславик, А.Б. Свинарева // Труды Одесского политехнического университета, вып. 1 (29),2008. – С. 292-297.</w:t>
      </w:r>
    </w:p>
    <w:p w:rsidR="007134EE" w:rsidRPr="00D07ACD" w:rsidRDefault="007134E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Чубай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інноваційного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потенціалу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машинобудівного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інноваційної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Чубай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Актуальні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– 2010. –№8. –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>. 183-190.</w:t>
      </w:r>
    </w:p>
    <w:p w:rsidR="007134EE" w:rsidRPr="00D07ACD" w:rsidRDefault="007134E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Вовчок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Теоретико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методичні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інноваційного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потенціалу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промислових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підприємств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дис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канд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екон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: 08.00.04 /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Вовчок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., 2009. – 20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4EE" w:rsidRPr="00D07ACD" w:rsidRDefault="007134E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Кривенко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інноваційного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потенціалу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контексті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інтелектуальної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складової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Кривенко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Лощина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Мілашенко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Економічний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простір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зб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праць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., 2008. – №18. –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>. 281-286.</w:t>
      </w:r>
    </w:p>
    <w:p w:rsidR="007134EE" w:rsidRPr="00D07ACD" w:rsidRDefault="007134E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Новікова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r w:rsidRPr="00D07A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Інноваційний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потенціал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оцінка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BB">
        <w:rPr>
          <w:rFonts w:ascii="Times New Roman" w:hAnsi="Times New Roman" w:cs="Times New Roman"/>
          <w:color w:val="000000"/>
          <w:sz w:val="28"/>
          <w:szCs w:val="28"/>
        </w:rPr>
        <w:t>фінансово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інвестиційне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матеріалами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підприємств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алмазо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інструментального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виробництва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дис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канд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екон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 : 08.06.01 /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Новикова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 xml:space="preserve">., 2003. – 22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7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4EE" w:rsidRPr="00077EEB" w:rsidRDefault="007134E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Заглумина Н. А.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инструментария оценки уровня инновационного развития предприятия : автореф. дисс. канд. экон. наук : 08.00.05 / Н. А. Заглумина. – Нижний Новгород. – 2011. – 26 с.</w:t>
      </w:r>
    </w:p>
    <w:p w:rsidR="007134EE" w:rsidRPr="00077EEB" w:rsidRDefault="007134E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Ілляшенко</w:t>
      </w:r>
      <w:r w:rsidRPr="00077E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077EE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077EE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інноваційним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розвитком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концепції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навч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посібн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Ілляшенко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Суми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ВТД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Університетська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книга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 xml:space="preserve">», 2003. – 581 </w:t>
      </w:r>
      <w:r w:rsidRPr="00F863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7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4EE" w:rsidRPr="00077EEB" w:rsidRDefault="007D1B8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134EE" w:rsidRPr="00F86358">
        <w:rPr>
          <w:rFonts w:ascii="Times New Roman" w:hAnsi="Times New Roman" w:cs="Times New Roman"/>
          <w:color w:val="000000"/>
          <w:sz w:val="28"/>
          <w:szCs w:val="28"/>
        </w:rPr>
        <w:t xml:space="preserve">0. </w:t>
      </w:r>
      <w:r w:rsidR="007134EE"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Зінченко В.И.</w:t>
      </w:r>
      <w:r w:rsidR="007134EE" w:rsidRPr="00F86358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разработки и применения методики комплексной оценки инновационного потенциала промышленного предприятия / В.И. Зинченко, Е. П. Губин, Е. А. Монастырный, А. Б. Пушкаренко, Г. И. Тюльков // Инновации. – 2005. – №5. – С. 58-63.</w:t>
      </w:r>
    </w:p>
    <w:p w:rsidR="007134EE" w:rsidRPr="00077EEB" w:rsidRDefault="007D1B8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34EE" w:rsidRPr="00F863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34EE" w:rsidRPr="00F86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34EE" w:rsidRPr="00F20E6C">
        <w:rPr>
          <w:rFonts w:ascii="Times New Roman" w:hAnsi="Times New Roman" w:cs="Times New Roman"/>
          <w:i/>
          <w:color w:val="000000"/>
          <w:sz w:val="28"/>
          <w:szCs w:val="28"/>
        </w:rPr>
        <w:t>Ганиева А. К</w:t>
      </w:r>
      <w:r w:rsidR="007134EE" w:rsidRPr="00F86358">
        <w:rPr>
          <w:rFonts w:ascii="Times New Roman" w:hAnsi="Times New Roman" w:cs="Times New Roman"/>
          <w:color w:val="000000"/>
          <w:sz w:val="28"/>
          <w:szCs w:val="28"/>
        </w:rPr>
        <w:t>. Инновационный потенциал предприятия: анализ структуры и методические подходы к оценке / А. К. Ганиева // Економічний простір. – 2008. – №10. – С. 177-183.</w:t>
      </w:r>
    </w:p>
    <w:p w:rsidR="007134EE" w:rsidRPr="00DA7CF6" w:rsidRDefault="007D1B8E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134EE" w:rsidRPr="00DA7CF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134EE" w:rsidRPr="00DA7CF6">
        <w:rPr>
          <w:rFonts w:ascii="Times New Roman" w:hAnsi="Times New Roman" w:cs="Times New Roman"/>
          <w:i/>
          <w:color w:val="000000"/>
          <w:sz w:val="28"/>
          <w:szCs w:val="28"/>
        </w:rPr>
        <w:t>Жиц Г. И.</w:t>
      </w:r>
      <w:r w:rsidR="007134EE" w:rsidRPr="00DA7CF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и ресурсы: продолжение рассуждений о методологии оценки инновационного потенциала социально-экономических систем различного уровня сложности / Г. И. Жиц // Инновации. – 2008. – №5(115). – С. 92-95.</w:t>
      </w:r>
    </w:p>
    <w:p w:rsidR="00CE555D" w:rsidRPr="00DA7CF6" w:rsidRDefault="00CE555D" w:rsidP="0054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7CF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13.</w:t>
      </w:r>
      <w:r w:rsidRPr="00DA7CF6">
        <w:rPr>
          <w:rFonts w:ascii="Times New Roman" w:hAnsi="Times New Roman" w:cs="Times New Roman"/>
          <w:i/>
          <w:color w:val="000000"/>
          <w:sz w:val="28"/>
          <w:szCs w:val="28"/>
        </w:rPr>
        <w:t>Близнюк Т. П.</w:t>
      </w:r>
      <w:r w:rsidRPr="00DA7CF6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формирования </w:t>
      </w:r>
      <w:r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A7CF6">
        <w:rPr>
          <w:rFonts w:ascii="Times New Roman" w:hAnsi="Times New Roman" w:cs="Times New Roman"/>
          <w:color w:val="000000"/>
          <w:sz w:val="28"/>
          <w:szCs w:val="28"/>
        </w:rPr>
        <w:t>нновацион</w:t>
      </w:r>
      <w:r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ного </w:t>
      </w:r>
      <w:r w:rsidRPr="00DA7CF6">
        <w:rPr>
          <w:rFonts w:ascii="Times New Roman" w:hAnsi="Times New Roman" w:cs="Times New Roman"/>
          <w:color w:val="000000"/>
          <w:sz w:val="28"/>
          <w:szCs w:val="28"/>
        </w:rPr>
        <w:t xml:space="preserve"> потенц</w:t>
      </w:r>
      <w:r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>иала предприятий</w:t>
      </w:r>
      <w:r w:rsidRPr="00DA7CF6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>Т. П. Близнюк</w:t>
      </w:r>
      <w:r w:rsidRPr="00DA7CF6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Бізнес Інформ</w:t>
      </w:r>
      <w:r w:rsidRPr="00DA7CF6">
        <w:rPr>
          <w:rFonts w:ascii="Times New Roman" w:hAnsi="Times New Roman" w:cs="Times New Roman"/>
          <w:color w:val="000000"/>
          <w:sz w:val="28"/>
          <w:szCs w:val="28"/>
        </w:rPr>
        <w:t>. – 20</w:t>
      </w:r>
      <w:r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DA7CF6">
        <w:rPr>
          <w:rFonts w:ascii="Times New Roman" w:hAnsi="Times New Roman" w:cs="Times New Roman"/>
          <w:color w:val="000000"/>
          <w:sz w:val="28"/>
          <w:szCs w:val="28"/>
        </w:rPr>
        <w:t>. – №</w:t>
      </w:r>
      <w:r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DA7CF6">
        <w:rPr>
          <w:rFonts w:ascii="Times New Roman" w:hAnsi="Times New Roman" w:cs="Times New Roman"/>
          <w:color w:val="000000"/>
          <w:sz w:val="28"/>
          <w:szCs w:val="28"/>
        </w:rPr>
        <w:t xml:space="preserve"> – С. </w:t>
      </w:r>
      <w:r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>21-26</w:t>
      </w:r>
      <w:r w:rsidRPr="00DA7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48BD" w:rsidRPr="002A763C" w:rsidRDefault="008030B5" w:rsidP="002A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CF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14. </w:t>
      </w:r>
      <w:r w:rsidR="00DA7CF6" w:rsidRPr="00DA7CF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Коваль Н.В.</w:t>
      </w:r>
      <w:r w:rsidR="00DA7CF6" w:rsidRPr="00DA7C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Проблема оцінювання інноваційного потенціалу підприємств//</w:t>
      </w:r>
      <w:r w:rsidR="00DA7CF6" w:rsidRPr="00DA7CF6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Інноваційна економік</w:t>
      </w:r>
      <w:r w:rsidR="002A763C">
        <w:rPr>
          <w:rFonts w:ascii="Times New Roman" w:hAnsi="Times New Roman" w:cs="Times New Roman"/>
          <w:sz w:val="28"/>
          <w:szCs w:val="28"/>
          <w:lang w:val="uk-UA"/>
        </w:rPr>
        <w:t>а. – 2012. − №27. – С. 156 -162</w:t>
      </w:r>
    </w:p>
    <w:sectPr w:rsidR="003748BD" w:rsidRPr="002A763C" w:rsidSect="00294B1F">
      <w:headerReference w:type="default" r:id="rId9"/>
      <w:pgSz w:w="11906" w:h="16838"/>
      <w:pgMar w:top="61" w:right="850" w:bottom="709" w:left="1134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33" w:rsidRDefault="00E02833" w:rsidP="007B3C1B">
      <w:pPr>
        <w:spacing w:after="0" w:line="240" w:lineRule="auto"/>
      </w:pPr>
      <w:r>
        <w:separator/>
      </w:r>
    </w:p>
  </w:endnote>
  <w:endnote w:type="continuationSeparator" w:id="1">
    <w:p w:rsidR="00E02833" w:rsidRDefault="00E02833" w:rsidP="007B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33" w:rsidRDefault="00E02833" w:rsidP="007B3C1B">
      <w:pPr>
        <w:spacing w:after="0" w:line="240" w:lineRule="auto"/>
      </w:pPr>
      <w:r>
        <w:separator/>
      </w:r>
    </w:p>
  </w:footnote>
  <w:footnote w:type="continuationSeparator" w:id="1">
    <w:p w:rsidR="00E02833" w:rsidRDefault="00E02833" w:rsidP="007B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21" w:rsidRDefault="00A34E21">
    <w:pPr>
      <w:pStyle w:val="a4"/>
      <w:jc w:val="right"/>
    </w:pPr>
  </w:p>
  <w:p w:rsidR="00A34E21" w:rsidRDefault="00A34E21" w:rsidP="00D40AA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">
    <w:nsid w:val="02534854"/>
    <w:multiLevelType w:val="hybridMultilevel"/>
    <w:tmpl w:val="3A7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4644D"/>
    <w:multiLevelType w:val="hybridMultilevel"/>
    <w:tmpl w:val="0FC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4AB2"/>
    <w:multiLevelType w:val="hybridMultilevel"/>
    <w:tmpl w:val="05CE0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F2A19"/>
    <w:multiLevelType w:val="hybridMultilevel"/>
    <w:tmpl w:val="57443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095"/>
    <w:multiLevelType w:val="hybridMultilevel"/>
    <w:tmpl w:val="448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708A1"/>
    <w:multiLevelType w:val="hybridMultilevel"/>
    <w:tmpl w:val="552272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425512"/>
    <w:multiLevelType w:val="hybridMultilevel"/>
    <w:tmpl w:val="99B68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2684"/>
    <w:multiLevelType w:val="hybridMultilevel"/>
    <w:tmpl w:val="9AC8996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23FC"/>
    <w:multiLevelType w:val="hybridMultilevel"/>
    <w:tmpl w:val="F874161E"/>
    <w:lvl w:ilvl="0" w:tplc="2D4AD31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284D6E"/>
    <w:multiLevelType w:val="hybridMultilevel"/>
    <w:tmpl w:val="81A2B41C"/>
    <w:lvl w:ilvl="0" w:tplc="04190007">
      <w:start w:val="1"/>
      <w:numFmt w:val="bullet"/>
      <w:lvlText w:val=""/>
      <w:lvlPicBulletId w:val="0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91434"/>
    <w:multiLevelType w:val="hybridMultilevel"/>
    <w:tmpl w:val="6282A2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F7208"/>
    <w:multiLevelType w:val="hybridMultilevel"/>
    <w:tmpl w:val="B4F6A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51F23"/>
    <w:multiLevelType w:val="hybridMultilevel"/>
    <w:tmpl w:val="3F94A1EC"/>
    <w:lvl w:ilvl="0" w:tplc="25EE70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408275C"/>
    <w:multiLevelType w:val="hybridMultilevel"/>
    <w:tmpl w:val="444A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65EFD"/>
    <w:multiLevelType w:val="hybridMultilevel"/>
    <w:tmpl w:val="5882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3A10"/>
    <w:multiLevelType w:val="hybridMultilevel"/>
    <w:tmpl w:val="C4A80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D5896"/>
    <w:multiLevelType w:val="hybridMultilevel"/>
    <w:tmpl w:val="528C43CC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8">
    <w:nsid w:val="57CC62E9"/>
    <w:multiLevelType w:val="hybridMultilevel"/>
    <w:tmpl w:val="448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5265F"/>
    <w:multiLevelType w:val="hybridMultilevel"/>
    <w:tmpl w:val="5882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063D0"/>
    <w:multiLevelType w:val="hybridMultilevel"/>
    <w:tmpl w:val="D8360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7"/>
  </w:num>
  <w:num w:numId="9">
    <w:abstractNumId w:val="3"/>
  </w:num>
  <w:num w:numId="10">
    <w:abstractNumId w:val="1"/>
  </w:num>
  <w:num w:numId="11">
    <w:abstractNumId w:val="20"/>
  </w:num>
  <w:num w:numId="12">
    <w:abstractNumId w:val="16"/>
  </w:num>
  <w:num w:numId="13">
    <w:abstractNumId w:val="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2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433C"/>
    <w:rsid w:val="000052CB"/>
    <w:rsid w:val="00020274"/>
    <w:rsid w:val="00030376"/>
    <w:rsid w:val="0003226F"/>
    <w:rsid w:val="00077EEB"/>
    <w:rsid w:val="0008157C"/>
    <w:rsid w:val="000B7892"/>
    <w:rsid w:val="000C75F0"/>
    <w:rsid w:val="000E0ECE"/>
    <w:rsid w:val="000E3CD2"/>
    <w:rsid w:val="000E7EA0"/>
    <w:rsid w:val="001029BA"/>
    <w:rsid w:val="00112E8D"/>
    <w:rsid w:val="00120F11"/>
    <w:rsid w:val="00135F17"/>
    <w:rsid w:val="00136723"/>
    <w:rsid w:val="00152E4C"/>
    <w:rsid w:val="001A0221"/>
    <w:rsid w:val="001A3E8D"/>
    <w:rsid w:val="001C35A1"/>
    <w:rsid w:val="001C35FF"/>
    <w:rsid w:val="001D687F"/>
    <w:rsid w:val="00203695"/>
    <w:rsid w:val="002055CB"/>
    <w:rsid w:val="002065FD"/>
    <w:rsid w:val="00217EC3"/>
    <w:rsid w:val="00227B40"/>
    <w:rsid w:val="00246B68"/>
    <w:rsid w:val="00253360"/>
    <w:rsid w:val="002622E8"/>
    <w:rsid w:val="00267370"/>
    <w:rsid w:val="002777B8"/>
    <w:rsid w:val="00294B1F"/>
    <w:rsid w:val="00296952"/>
    <w:rsid w:val="002A2387"/>
    <w:rsid w:val="002A38DF"/>
    <w:rsid w:val="002A763C"/>
    <w:rsid w:val="002B3467"/>
    <w:rsid w:val="002B6107"/>
    <w:rsid w:val="002D03A6"/>
    <w:rsid w:val="002D3C2B"/>
    <w:rsid w:val="002D760A"/>
    <w:rsid w:val="0030146D"/>
    <w:rsid w:val="00302887"/>
    <w:rsid w:val="00333ED7"/>
    <w:rsid w:val="00344B02"/>
    <w:rsid w:val="0035648F"/>
    <w:rsid w:val="003748BD"/>
    <w:rsid w:val="003B67F7"/>
    <w:rsid w:val="003C1396"/>
    <w:rsid w:val="003C3ABA"/>
    <w:rsid w:val="003D0327"/>
    <w:rsid w:val="003D0A5C"/>
    <w:rsid w:val="003D2F84"/>
    <w:rsid w:val="003D75CE"/>
    <w:rsid w:val="003E4260"/>
    <w:rsid w:val="003E6BE3"/>
    <w:rsid w:val="00413DDC"/>
    <w:rsid w:val="004151D3"/>
    <w:rsid w:val="00427F46"/>
    <w:rsid w:val="00444802"/>
    <w:rsid w:val="00457858"/>
    <w:rsid w:val="00463419"/>
    <w:rsid w:val="00464E6E"/>
    <w:rsid w:val="00472E0C"/>
    <w:rsid w:val="00487873"/>
    <w:rsid w:val="0049433C"/>
    <w:rsid w:val="004E3C73"/>
    <w:rsid w:val="004E54C2"/>
    <w:rsid w:val="0050090C"/>
    <w:rsid w:val="00510ECE"/>
    <w:rsid w:val="00530E49"/>
    <w:rsid w:val="005357D2"/>
    <w:rsid w:val="00542139"/>
    <w:rsid w:val="00547B86"/>
    <w:rsid w:val="00566079"/>
    <w:rsid w:val="00567E42"/>
    <w:rsid w:val="00571F18"/>
    <w:rsid w:val="0057616B"/>
    <w:rsid w:val="00580106"/>
    <w:rsid w:val="00595CB6"/>
    <w:rsid w:val="005A6BD7"/>
    <w:rsid w:val="005E43FE"/>
    <w:rsid w:val="005F6B95"/>
    <w:rsid w:val="00614BAD"/>
    <w:rsid w:val="00615DEA"/>
    <w:rsid w:val="00643C4F"/>
    <w:rsid w:val="006643F3"/>
    <w:rsid w:val="00664A8F"/>
    <w:rsid w:val="006656FF"/>
    <w:rsid w:val="006666C7"/>
    <w:rsid w:val="00686349"/>
    <w:rsid w:val="00692395"/>
    <w:rsid w:val="006A3923"/>
    <w:rsid w:val="006B3870"/>
    <w:rsid w:val="006C7F61"/>
    <w:rsid w:val="006E5DB1"/>
    <w:rsid w:val="00700222"/>
    <w:rsid w:val="007134EE"/>
    <w:rsid w:val="00715E10"/>
    <w:rsid w:val="00721C31"/>
    <w:rsid w:val="007449DD"/>
    <w:rsid w:val="00745992"/>
    <w:rsid w:val="007627F8"/>
    <w:rsid w:val="00767225"/>
    <w:rsid w:val="007A09AF"/>
    <w:rsid w:val="007A6960"/>
    <w:rsid w:val="007B3C1B"/>
    <w:rsid w:val="007D1B8E"/>
    <w:rsid w:val="007E1ED8"/>
    <w:rsid w:val="007F3C63"/>
    <w:rsid w:val="007F68F9"/>
    <w:rsid w:val="007F7D32"/>
    <w:rsid w:val="008030B5"/>
    <w:rsid w:val="00836296"/>
    <w:rsid w:val="00846658"/>
    <w:rsid w:val="008478A3"/>
    <w:rsid w:val="0089229A"/>
    <w:rsid w:val="00893594"/>
    <w:rsid w:val="008A6D76"/>
    <w:rsid w:val="008C4970"/>
    <w:rsid w:val="008C5208"/>
    <w:rsid w:val="00921BB4"/>
    <w:rsid w:val="009530C4"/>
    <w:rsid w:val="009665BC"/>
    <w:rsid w:val="00976042"/>
    <w:rsid w:val="00981FAD"/>
    <w:rsid w:val="009B74B7"/>
    <w:rsid w:val="009F6376"/>
    <w:rsid w:val="00A17E11"/>
    <w:rsid w:val="00A30C99"/>
    <w:rsid w:val="00A339B5"/>
    <w:rsid w:val="00A34E21"/>
    <w:rsid w:val="00A65AB4"/>
    <w:rsid w:val="00A66B08"/>
    <w:rsid w:val="00A81C1C"/>
    <w:rsid w:val="00A97821"/>
    <w:rsid w:val="00AC3309"/>
    <w:rsid w:val="00AC4976"/>
    <w:rsid w:val="00AD0353"/>
    <w:rsid w:val="00AE5A0E"/>
    <w:rsid w:val="00AE6309"/>
    <w:rsid w:val="00B00F3E"/>
    <w:rsid w:val="00B07F53"/>
    <w:rsid w:val="00B21A43"/>
    <w:rsid w:val="00B35F44"/>
    <w:rsid w:val="00B51182"/>
    <w:rsid w:val="00B6031D"/>
    <w:rsid w:val="00B6048D"/>
    <w:rsid w:val="00B66269"/>
    <w:rsid w:val="00B81CC9"/>
    <w:rsid w:val="00B82AF4"/>
    <w:rsid w:val="00BA6B3C"/>
    <w:rsid w:val="00BD0195"/>
    <w:rsid w:val="00BD15DB"/>
    <w:rsid w:val="00C0165D"/>
    <w:rsid w:val="00C06C82"/>
    <w:rsid w:val="00C22211"/>
    <w:rsid w:val="00C4135A"/>
    <w:rsid w:val="00C43C31"/>
    <w:rsid w:val="00C4746E"/>
    <w:rsid w:val="00C55C14"/>
    <w:rsid w:val="00C570D8"/>
    <w:rsid w:val="00C77962"/>
    <w:rsid w:val="00C85DA6"/>
    <w:rsid w:val="00C93E91"/>
    <w:rsid w:val="00CA43CA"/>
    <w:rsid w:val="00CE53AA"/>
    <w:rsid w:val="00CE555D"/>
    <w:rsid w:val="00CF3E3C"/>
    <w:rsid w:val="00D07ACD"/>
    <w:rsid w:val="00D230C1"/>
    <w:rsid w:val="00D3798C"/>
    <w:rsid w:val="00D40AA7"/>
    <w:rsid w:val="00D87BB6"/>
    <w:rsid w:val="00D94F5C"/>
    <w:rsid w:val="00DA7CF6"/>
    <w:rsid w:val="00DB175C"/>
    <w:rsid w:val="00DB4FE9"/>
    <w:rsid w:val="00DB6D8F"/>
    <w:rsid w:val="00DD547B"/>
    <w:rsid w:val="00DE065B"/>
    <w:rsid w:val="00DF3D37"/>
    <w:rsid w:val="00E02833"/>
    <w:rsid w:val="00E1354D"/>
    <w:rsid w:val="00E20924"/>
    <w:rsid w:val="00E21E18"/>
    <w:rsid w:val="00E2383A"/>
    <w:rsid w:val="00E25F80"/>
    <w:rsid w:val="00E3112C"/>
    <w:rsid w:val="00E31BA5"/>
    <w:rsid w:val="00E54A50"/>
    <w:rsid w:val="00EB7785"/>
    <w:rsid w:val="00ED5217"/>
    <w:rsid w:val="00F02050"/>
    <w:rsid w:val="00F10A83"/>
    <w:rsid w:val="00F17060"/>
    <w:rsid w:val="00F20E6C"/>
    <w:rsid w:val="00F355E1"/>
    <w:rsid w:val="00F40342"/>
    <w:rsid w:val="00F5247B"/>
    <w:rsid w:val="00F54718"/>
    <w:rsid w:val="00F5797E"/>
    <w:rsid w:val="00F64125"/>
    <w:rsid w:val="00F66427"/>
    <w:rsid w:val="00F72E3C"/>
    <w:rsid w:val="00F76658"/>
    <w:rsid w:val="00F920DA"/>
    <w:rsid w:val="00FD7D96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39"/>
  </w:style>
  <w:style w:type="paragraph" w:styleId="1">
    <w:name w:val="heading 1"/>
    <w:aliases w:val="Format"/>
    <w:basedOn w:val="a"/>
    <w:next w:val="a"/>
    <w:link w:val="10"/>
    <w:qFormat/>
    <w:rsid w:val="0030146D"/>
    <w:pPr>
      <w:widowControl w:val="0"/>
      <w:spacing w:after="0" w:line="360" w:lineRule="auto"/>
      <w:jc w:val="both"/>
      <w:outlineLvl w:val="0"/>
    </w:pPr>
    <w:rPr>
      <w:rFonts w:ascii="Times New Roman" w:eastAsia="Calibri" w:hAnsi="Times New Roman" w:cs="Times New Roman"/>
      <w:kern w:val="28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7134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3C"/>
    <w:pPr>
      <w:ind w:left="720"/>
      <w:contextualSpacing/>
    </w:pPr>
  </w:style>
  <w:style w:type="paragraph" w:styleId="a4">
    <w:name w:val="header"/>
    <w:basedOn w:val="a"/>
    <w:link w:val="a5"/>
    <w:rsid w:val="002622E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Верхний колонтитул Знак"/>
    <w:basedOn w:val="a0"/>
    <w:link w:val="a4"/>
    <w:rsid w:val="002622E8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Default">
    <w:name w:val="Default"/>
    <w:rsid w:val="002622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E8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F02050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F02050"/>
    <w:pPr>
      <w:spacing w:after="0" w:line="36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table" w:styleId="a9">
    <w:name w:val="Table Grid"/>
    <w:basedOn w:val="a1"/>
    <w:uiPriority w:val="59"/>
    <w:rsid w:val="00DB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7B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3C1B"/>
  </w:style>
  <w:style w:type="character" w:customStyle="1" w:styleId="10">
    <w:name w:val="Заголовок 1 Знак"/>
    <w:aliases w:val="Format Знак"/>
    <w:basedOn w:val="a0"/>
    <w:link w:val="1"/>
    <w:rsid w:val="0030146D"/>
    <w:rPr>
      <w:rFonts w:ascii="Times New Roman" w:eastAsia="Calibri" w:hAnsi="Times New Roman" w:cs="Times New Roman"/>
      <w:kern w:val="28"/>
      <w:sz w:val="28"/>
      <w:szCs w:val="20"/>
      <w:lang w:val="uk-UA"/>
    </w:rPr>
  </w:style>
  <w:style w:type="paragraph" w:styleId="ac">
    <w:name w:val="Body Text Indent"/>
    <w:basedOn w:val="a"/>
    <w:link w:val="ad"/>
    <w:semiHidden/>
    <w:rsid w:val="001A0221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1A022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134E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semiHidden/>
    <w:unhideWhenUsed/>
    <w:rsid w:val="0054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Placeholder Text"/>
    <w:basedOn w:val="a0"/>
    <w:uiPriority w:val="99"/>
    <w:semiHidden/>
    <w:rsid w:val="00547B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A21E-CD49-487D-9794-F3F2704E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53</cp:revision>
  <dcterms:created xsi:type="dcterms:W3CDTF">2012-11-01T12:46:00Z</dcterms:created>
  <dcterms:modified xsi:type="dcterms:W3CDTF">2013-04-08T18:25:00Z</dcterms:modified>
</cp:coreProperties>
</file>