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0F" w:rsidRDefault="00F5540F" w:rsidP="0029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15pt;margin-top:73.45pt;width:237.75pt;height:75pt;z-index:251658240" filled="f" stroked="f">
            <v:textbox>
              <w:txbxContent>
                <w:p w:rsidR="002922F7" w:rsidRPr="002922F7" w:rsidRDefault="002922F7" w:rsidP="002922F7">
                  <w:pPr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Бандрівська О.Я.,</w:t>
                  </w:r>
                  <w:r w:rsidRPr="002922F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292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ФЕтаУ, 2 курс,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22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ЕЕП-401</w:t>
                  </w:r>
                </w:p>
                <w:p w:rsidR="002922F7" w:rsidRDefault="002922F7"/>
              </w:txbxContent>
            </v:textbox>
          </v:shape>
        </w:pict>
      </w:r>
      <w:r w:rsidR="002922F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1619250" cy="2413882"/>
            <wp:effectExtent l="19050" t="0" r="0" b="0"/>
            <wp:docPr id="3" name="Рисунок 3" descr="C:\Users\E786~1\AppData\Local\Temp\Бандрівська 1 г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786~1\AppData\Local\Temp\Бандрівська 1 гру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42" cy="24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0F" w:rsidRPr="00923BAD" w:rsidRDefault="002922F7" w:rsidP="0029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AD">
        <w:rPr>
          <w:rFonts w:ascii="Times New Roman" w:hAnsi="Times New Roman" w:cs="Times New Roman"/>
          <w:b/>
          <w:sz w:val="28"/>
          <w:szCs w:val="28"/>
        </w:rPr>
        <w:t>УДОСКОНАЛЕННЯ ПРАКТИКИ РОЗПОДІЛУ ПРИБУТКУ НА ВІТЧИЗНЯНИХ ПІДПРИЄМСТВАХ</w:t>
      </w:r>
    </w:p>
    <w:p w:rsidR="002922F7" w:rsidRPr="00923BAD" w:rsidRDefault="002922F7" w:rsidP="0029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 ефективності розподілу прибутку підприємств — одна з найбільш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сійних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підприємствами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останні роки.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 розподілу прибутку підприємства має багаторівневий характер і залежить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багатьох факторів. Прибуток, що залишається в розпорядженні підприємства,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розподілено на дві основні частини: а) фонд виплати винагороди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власникам підприємства у формі дивідендів на акції або процентів на пайові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внески; б) фонди розвитку підприємства в наступному періоді. Процес такого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прибутку 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традиційно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називається дивідендною політикою підприємства, варіанти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визначають його власника та фінансові менеджери.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Наступним етапом розподілу прибутку є формування за рахунок нього конкретних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фондів розвитку підприємства. Сучасна практика поділяє ці фонди на три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групи: а) фонд стимулювання персоналу підприємства; б) фонд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інвестування приросту активів підприємства; в) резервний або страховий фонд.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 із цих фондів має суто цільове призначення у напрямках майбутнього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використання. Формування резервного фонду підприємств регулюється в Україні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діючим законодавством [1].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завершальному етапі розподілу прибутку планується розподіл коштів кожного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сформованих фондів за окремими напрямками витрачання їх. Так, фонд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стимулювання персоналу підприємства може бути розподілено на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додаткове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преміювання працівників за рахунок прибутку, додаткові соціальні виплати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персоналу відповідно до колективних та індивідуальних трудових угод тощо.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інвестування приросту активів підприємства може бути розподілено за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 цих активів — основних фондів, нематеріальних активів, власних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оборотних коштів тощо.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найбільш складних і принципових питань, пов’язаних із розподілом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прибутку, головне — формування пропорцій цього розподілу між виплатами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винагороди власникам і формування фондів розвитку підприємства у наступному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періоді.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Остаточна політика дивідендних виплат формує механізм розподілу прибутку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підприємства, за яким, у першу чергу, відповідно до потреби мають бути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сформовані необхідні фонди його розвитку в наступному періоді, а лише після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за рахунок суми, що залишилася, формується фонд дивідендних виплат. Цей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дивідендної політики формується під пріоритетним впливом інвестиційних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можливостей підприємства і загальної суми прибутку, що підлягає розподілу. 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 з тим, що такий підхід забезпечує переважне реінвестування прибутку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цілі розвитку підприємства, його ринкова вартість зростає високими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темпами. Але за цим типом дивідендної політики власники отримують, як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 більш низький рівень доходу на вкладений капітал, ніж склався на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фінансовому ринку, а в деяких випадках і зовсім не отримують дивідендів.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типу дивідендної політики притримується зараз переважна більшість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 виробничих підприємств України з метою забезпечення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самофінансування свого розвитку [2].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стабільного розміру дивідендних виплат характеризує стабільну суму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дивідендів на акції протягом певного періоду часу. Як правило, розмір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дивідендів відповідає середній нормі прибутку на вкладений капітал і не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 від економічних результатів діяльності підприємства. Такий тип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дивідендної політики створює умови передбач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уваності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отримання доходів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акціонерами. Але провадити таку дивідендну політику підприємства можуть за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умови стабільної економіки і кон’юнктури ринку. Брак таких умов на сучасному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 економічного розвитку України не дає змоги виробничим підприємствам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 провадити цей тип дивідендної політики.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мінімального стабільного розміру дивідендів з надбавкою в окремі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 поєднує в собі риси обох раніше розглянутих її типів. Встановлений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 стабільний розмір дивідендів дає змогу підприємству забезпечити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 інвестиційні потреби, а в ті періоди, коли воно одержує більший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прибутку або не має ефективних інвестиційних проектів, що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передбачаються до реалізації, розмір дивідендів може бути збільшено. Такий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політики розподілу прибутку дає змогу підприємству найбільшою мірою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врахувати економічні умови своєї діяльності і створює в акціонерів відповідні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очікування отриманні 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екстра-дивіденду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. Але мінімальний розмір дивіденду, що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сплачується акціонерам протягом тривалого періоду, веде до зменшення рівня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їхніх доходів (у порівнянні з альтернативним інвестуванням капіталу) і не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відповідно високих темпів зростання ринкової вартості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підприємства. У сучасних економічних умовах лише деякі з виробничих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 обирають такий тип дивідендної політики, бо вони не можуть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гарантувати акціонерам стабільних виплат дивідендів навіть у мінімальних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розмірах.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постійного розміру дивідендів заснована на прирості їх у кожному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періоді. У практиці західних країн вона набула певного розвитку на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підприємствах, що освоїли нову ринкову нішу і перебувають на ранніх стадіях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свого життєвого циклу, для яких постійне зростання власного капіталу є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нагальною потребою. Ця потреба задовольняється шляхом постійних додаткових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емісій акцій, інвестиційна привабливість яких забезпечується постійним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зростанням розміру дивідендів. В Україні цей тип дивідендної політики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декларували деякі новостворені акціонерні товариства, але зростання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дивідендних виплат забезпечувалось ними не приростом виробничої діяльності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(і, відповідно, приростом суми та рівня прибутку), а приростом акціонерного</w:t>
      </w:r>
    </w:p>
    <w:p w:rsidR="00FA0B0F" w:rsidRPr="00923BAD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капіталу (тоб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за принципом дії так званої «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піраміди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). Така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призвела до банкрутства більшості таких акціонерних товариств, а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решта їх відмовилася від цьо</w:t>
      </w:r>
      <w:r w:rsidR="00923BAD"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типу дивідендної політики [2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 прибутку, спрямовані на розвиток підприємства в наступному періоді,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розподіляються за окремими фондами і напрямками відповідно до умов діяльності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конкретних потреб цього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розвитку. При цьому пріоритетними мають вважатися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розвитку підприємства, пов’язані з реалізацією його інвестиційних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можливостей. Це дає змогу збільшити суму власного капіталу, що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використовується, і відповідно, підвищити ринкову вартість підприємств.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о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бираючи той чи інший тип дивідендної політики в сучасних умовах,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врахувати такі основні фактори: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івень прибутк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овості господарської діяльності; вимоги економічного зростання; м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ожливості прискорення або гальмування 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реальних інвестиційних проектів, що реалізуються; в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артість залучення додаткового капіталу на фінансовому ри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; м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ожливості залучення додаткових фінансових ресурсів із альтернативних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 джерел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; с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тадія життєвого циклу підприємства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; р</w:t>
      </w: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>івень ліквідності активів підприємства.</w:t>
      </w:r>
    </w:p>
    <w:p w:rsidR="00FA0B0F" w:rsidRPr="00FA0B0F" w:rsidRDefault="00FA0B0F" w:rsidP="00FA0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0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FA0B0F" w:rsidRPr="00923BAD" w:rsidRDefault="00FA0B0F" w:rsidP="00923BAD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AD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922F7" w:rsidRPr="00923BAD" w:rsidRDefault="002922F7" w:rsidP="000B1F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Ігнатюк І. О. Питання формування та розподілу прибутку як передумови ефективного функціонування підприємства [Електронний ресурс] / І. О. Ігнатюк. – Режим доступу :  </w:t>
      </w:r>
      <w:hyperlink r:id="rId6" w:history="1">
        <w:r w:rsidRPr="00923BA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http://www.nbuv.gov.ua</w:t>
        </w:r>
      </w:hyperlink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/portal/natural /NVUU/Ekon/2009_28_3/statti/2_7.ht</w:t>
      </w:r>
    </w:p>
    <w:p w:rsidR="002922F7" w:rsidRPr="00923BAD" w:rsidRDefault="002922F7" w:rsidP="000B1F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Пігуль Н. Управління прибутком підприємства [Електронний ресурс] / Н. Пігуль. – Режим доступу : </w:t>
      </w:r>
      <w:hyperlink r:id="rId7" w:history="1">
        <w:r w:rsidR="000B1FBE" w:rsidRPr="000B1F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http://www.nbuv.gov.ua/portal/</w:t>
        </w:r>
      </w:hyperlink>
      <w:r w:rsidR="000B1FBE" w:rsidRPr="000B1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23BAD">
        <w:rPr>
          <w:rFonts w:ascii="Times New Roman" w:eastAsia="Times New Roman" w:hAnsi="Times New Roman" w:cs="Times New Roman"/>
          <w:sz w:val="28"/>
          <w:szCs w:val="28"/>
          <w:lang w:eastAsia="uk-UA"/>
        </w:rPr>
        <w:t>soc_gum/pprbsu/2010_28/10_28_11.pdf</w:t>
      </w:r>
    </w:p>
    <w:sectPr w:rsidR="002922F7" w:rsidRPr="00923BAD" w:rsidSect="00A8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587"/>
    <w:multiLevelType w:val="hybridMultilevel"/>
    <w:tmpl w:val="9F564B7C"/>
    <w:lvl w:ilvl="0" w:tplc="616A86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B0F"/>
    <w:rsid w:val="000B1FBE"/>
    <w:rsid w:val="001B6C96"/>
    <w:rsid w:val="002922F7"/>
    <w:rsid w:val="003D4E00"/>
    <w:rsid w:val="005D40FF"/>
    <w:rsid w:val="006B4B08"/>
    <w:rsid w:val="00826BAB"/>
    <w:rsid w:val="00923BAD"/>
    <w:rsid w:val="00A81902"/>
    <w:rsid w:val="00A83F40"/>
    <w:rsid w:val="00C30F22"/>
    <w:rsid w:val="00F5540F"/>
    <w:rsid w:val="00F650E5"/>
    <w:rsid w:val="00F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7"/>
  </w:style>
  <w:style w:type="paragraph" w:styleId="2">
    <w:name w:val="heading 2"/>
    <w:basedOn w:val="a"/>
    <w:link w:val="20"/>
    <w:uiPriority w:val="9"/>
    <w:qFormat/>
    <w:rsid w:val="00FA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B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A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B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A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2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4506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Лідія-ПК</cp:lastModifiedBy>
  <cp:revision>2</cp:revision>
  <dcterms:created xsi:type="dcterms:W3CDTF">2014-05-04T19:32:00Z</dcterms:created>
  <dcterms:modified xsi:type="dcterms:W3CDTF">2014-05-04T19:32:00Z</dcterms:modified>
</cp:coreProperties>
</file>