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25" w:rsidRPr="00BF655E" w:rsidRDefault="00F30E11" w:rsidP="00CA4A25">
      <w:pPr>
        <w:spacing w:line="360" w:lineRule="auto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A1A1A" w:themeColor="background1" w:themeShade="1A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-215265</wp:posOffset>
            </wp:positionV>
            <wp:extent cx="1748155" cy="1933575"/>
            <wp:effectExtent l="0" t="0" r="4445" b="9525"/>
            <wp:wrapTight wrapText="bothSides">
              <wp:wrapPolygon edited="0">
                <wp:start x="0" y="0"/>
                <wp:lineTo x="0" y="21494"/>
                <wp:lineTo x="21420" y="21494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dGoGWWDX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A4A25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Брухлій</w:t>
      </w:r>
      <w:proofErr w:type="spellEnd"/>
      <w:r w:rsidR="00CA4A25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С.Т. (</w:t>
      </w:r>
      <w:proofErr w:type="spellStart"/>
      <w:r w:rsidR="00CA4A25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ФЕтаУ</w:t>
      </w:r>
      <w:proofErr w:type="spellEnd"/>
      <w:r w:rsidR="00CA4A25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 ІІ курс)</w:t>
      </w:r>
    </w:p>
    <w:p w:rsidR="00F30E11" w:rsidRDefault="00F30E11" w:rsidP="008123CF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en-US"/>
        </w:rPr>
      </w:pPr>
    </w:p>
    <w:p w:rsidR="00F30E11" w:rsidRDefault="00F30E11" w:rsidP="008123CF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en-US"/>
        </w:rPr>
      </w:pPr>
    </w:p>
    <w:p w:rsidR="00F30E11" w:rsidRDefault="00F30E11" w:rsidP="008123CF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en-US"/>
        </w:rPr>
      </w:pPr>
    </w:p>
    <w:p w:rsidR="000D0020" w:rsidRPr="008123CF" w:rsidRDefault="004900C3" w:rsidP="008123CF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bookmarkStart w:id="0" w:name="_GoBack"/>
      <w:bookmarkEnd w:id="0"/>
      <w:r w:rsidRPr="008123C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ІНТЕЛЕКТУАЛЬНИЙ КАПІТАЛ ПІДПРИЄМСТВА ТА ОЦІНКА ЕФЕКТИВНОСТІ ЙОГО ВИКОРИСТАННЯ</w:t>
      </w:r>
    </w:p>
    <w:p w:rsidR="00460AD1" w:rsidRPr="008123CF" w:rsidRDefault="001C7929" w:rsidP="001C79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7929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460AD1" w:rsidRPr="008123C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Через те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концепція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інтелектуального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капіталу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почала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формуватися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порівняно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недавно –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90-х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AD1" w:rsidRPr="008123CF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ст.,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важливіша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науково-практична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ефективного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інтелектуальним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капіталом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="00460AD1" w:rsidRPr="008123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0AD1" w:rsidRPr="008123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залишається недопрацьованою.</w:t>
      </w:r>
    </w:p>
    <w:p w:rsidR="00D75328" w:rsidRPr="008123CF" w:rsidRDefault="001C7929" w:rsidP="001C7929">
      <w:pPr>
        <w:spacing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1C7929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Постановка проблеми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460AD1" w:rsidRPr="008123C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</w:t>
      </w:r>
      <w:r w:rsidR="00A333E4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Об’єктом дослідження є </w:t>
      </w:r>
      <w:r w:rsidR="003F70EA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інтелектуальний</w:t>
      </w:r>
      <w:r w:rsidR="00A333E4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капіта</w:t>
      </w:r>
      <w:r w:rsidR="003F70EA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л </w:t>
      </w:r>
      <w:r w:rsidR="00A333E4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підприємств</w:t>
      </w:r>
      <w:r w:rsidR="003F70EA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а.</w:t>
      </w:r>
      <w:r w:rsidR="00A333E4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 Предмет дослідження – теоретичні аспекти інтелект</w:t>
      </w:r>
      <w:r w:rsidR="00421B61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уальн</w:t>
      </w:r>
      <w:r w:rsidR="00421B61" w:rsidRPr="008123C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421B61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капітал</w:t>
      </w:r>
      <w:r w:rsidR="00421B61" w:rsidRPr="008123C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у </w:t>
      </w:r>
      <w:r w:rsidR="00421B61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підприємств</w:t>
      </w:r>
      <w:r w:rsidR="00421B61" w:rsidRPr="008123C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та </w:t>
      </w:r>
      <w:r w:rsidR="00460AD1" w:rsidRPr="008123CF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ефективність його використання.</w:t>
      </w:r>
    </w:p>
    <w:p w:rsidR="00D75328" w:rsidRPr="00BF655E" w:rsidRDefault="001C7929" w:rsidP="001C7929">
      <w:pPr>
        <w:spacing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C7929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uk-UA"/>
        </w:rPr>
        <w:t>Результати дослідження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.</w:t>
      </w:r>
      <w:r w:rsidR="00460AD1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Теоретичні аспекти досліджень інтелектуального капіталу знайшли відображення у працях зарубіжних та вітчизняних учених Дж. </w:t>
      </w:r>
      <w:proofErr w:type="spellStart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Гелбрейта</w:t>
      </w:r>
      <w:proofErr w:type="spellEnd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Л. </w:t>
      </w:r>
      <w:proofErr w:type="spellStart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Едвінсона</w:t>
      </w:r>
      <w:proofErr w:type="spellEnd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М. </w:t>
      </w:r>
      <w:proofErr w:type="spellStart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Мелоуна</w:t>
      </w:r>
      <w:proofErr w:type="spellEnd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Т. Стюарта, І. </w:t>
      </w:r>
      <w:proofErr w:type="spellStart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Булєєва</w:t>
      </w:r>
      <w:proofErr w:type="spellEnd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В. </w:t>
      </w:r>
      <w:proofErr w:type="spellStart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Гейця</w:t>
      </w:r>
      <w:proofErr w:type="spellEnd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О. </w:t>
      </w:r>
      <w:proofErr w:type="spellStart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Грішнової</w:t>
      </w:r>
      <w:proofErr w:type="spellEnd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О. </w:t>
      </w:r>
      <w:proofErr w:type="spellStart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Кендюхова</w:t>
      </w:r>
      <w:proofErr w:type="spellEnd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В. </w:t>
      </w:r>
      <w:proofErr w:type="spellStart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Іноземцева</w:t>
      </w:r>
      <w:proofErr w:type="spellEnd"/>
      <w:r w:rsidR="00F36BE7" w:rsidRPr="001C7929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,   С. Климка, </w:t>
      </w:r>
      <w:r w:rsidR="00F36BE7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А. </w:t>
      </w:r>
      <w:proofErr w:type="spellStart"/>
      <w:r w:rsidR="00F36BE7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Козирєва</w:t>
      </w:r>
      <w:proofErr w:type="spellEnd"/>
      <w:r w:rsidR="00F36BE7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В. </w:t>
      </w:r>
      <w:proofErr w:type="spellStart"/>
      <w:r w:rsidR="00F36BE7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Левківського</w:t>
      </w:r>
      <w:proofErr w:type="spellEnd"/>
      <w:r w:rsidR="00F36BE7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Б. </w:t>
      </w:r>
      <w:proofErr w:type="spellStart"/>
      <w:r w:rsidR="00F36BE7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Леонтьєва</w:t>
      </w:r>
      <w:proofErr w:type="spellEnd"/>
      <w:r w:rsidR="00F36BE7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Н. </w:t>
      </w:r>
      <w:proofErr w:type="spellStart"/>
      <w:r w:rsidR="00F36BE7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Маркової</w:t>
      </w:r>
      <w:proofErr w:type="spellEnd"/>
      <w:r w:rsidR="00F36BE7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 А. Чухна. </w:t>
      </w:r>
    </w:p>
    <w:p w:rsidR="00D75328" w:rsidRPr="00BF655E" w:rsidRDefault="00F36BE7" w:rsidP="001C7929">
      <w:pPr>
        <w:spacing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Науковці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своїх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роботах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підкреслюють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що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інтелектуальний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це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втілений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знання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вміння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досвід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кваліфікацію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людей.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Віддача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такого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реалізується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якості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та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продуктивності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праці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Визнано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що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основою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інтелектуального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(ІК)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є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людський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виявлено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сутність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структуру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інтелектуального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форми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управління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ним на макро- та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мезорівнях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</w:p>
    <w:p w:rsidR="00D75328" w:rsidRPr="00BF655E" w:rsidRDefault="00F36BE7" w:rsidP="001C7929">
      <w:pPr>
        <w:spacing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Але при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цьому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як у теоретичному, так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практичному  аспектах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залишаються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невирішеними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питання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відносно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сутності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структури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інтелектуального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підприємств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форм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методів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управління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інтелектуальним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капіталом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підприємствах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його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впливу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ринкову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вартість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підприємства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конкурентоспроможність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рівень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капіталізації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Недостатньо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досліджено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питання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стратегічного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управління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інтелектуальним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капіталом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підприємства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його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впливу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корпоративну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культуру,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відображення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інтелектуального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нематеріальних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активах,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мотивації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розвитку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інтелектуального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капіталу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підприємства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</w:p>
    <w:p w:rsidR="003F70EA" w:rsidRPr="00D12595" w:rsidRDefault="003F70EA" w:rsidP="00D12595">
      <w:pPr>
        <w:spacing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Важливо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відмітити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що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нинішня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ситуація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в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Україні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щодо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витрат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на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науково-дослідницькі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та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дослідницько-конструкторські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розробки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є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вкрай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незадовільною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.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Офіційні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дані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свідчать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що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частка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загального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обсягу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фінансування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в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Україні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наукових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та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науково-технічних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робіт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у ВВП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наближається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до 1 %,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тоді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як у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Швеції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цей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показник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складає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3 %,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Японії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– 2,97 %, </w:t>
      </w:r>
      <w:proofErr w:type="spellStart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Швейцарії</w:t>
      </w:r>
      <w:proofErr w:type="spellEnd"/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– 2,86 %, США</w:t>
      </w:r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– 2,62 %,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Німеччині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– 2,53 % [4</w:t>
      </w:r>
      <w:r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, с.65]</w:t>
      </w:r>
      <w:r w:rsidR="00D12595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</w:p>
    <w:p w:rsidR="003F70EA" w:rsidRPr="00BF655E" w:rsidRDefault="003F70EA" w:rsidP="00D75328">
      <w:pPr>
        <w:pStyle w:val="a3"/>
        <w:shd w:val="clear" w:color="auto" w:fill="FFFFFF"/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BF655E">
        <w:rPr>
          <w:color w:val="1A1A1A" w:themeColor="background1" w:themeShade="1A"/>
          <w:sz w:val="28"/>
          <w:szCs w:val="28"/>
        </w:rPr>
        <w:t>Витрати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на НДДКР у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високорозвинутих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країнах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передбачають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не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менше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3,5% ВВП, а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оптимальний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рівень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витрат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який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забезпечує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самодостатній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розвиток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науки, становить 2% ВВП.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Проте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, на нашу думку,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така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однозначність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у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визначенні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оптимуму не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підходить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для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країн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що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розвиваються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і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ось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з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яких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підстав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. На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обсяг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фінансування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науки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впливає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величина ВВП.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Якщо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країна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має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високі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показники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обсягів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ВВП -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загальні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та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з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розрахунку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на душу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населення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, то,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наприклад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і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2% ВВП,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спрямовані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на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фінансування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науки,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дадуть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можливість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дійсно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забезпечити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її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подальший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розвиток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причому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F655E">
        <w:rPr>
          <w:color w:val="1A1A1A" w:themeColor="background1" w:themeShade="1A"/>
          <w:sz w:val="28"/>
          <w:szCs w:val="28"/>
        </w:rPr>
        <w:t>достатніми</w:t>
      </w:r>
      <w:proofErr w:type="spellEnd"/>
      <w:r w:rsidRPr="00BF655E">
        <w:rPr>
          <w:color w:val="1A1A1A" w:themeColor="background1" w:themeShade="1A"/>
          <w:sz w:val="28"/>
          <w:szCs w:val="28"/>
        </w:rPr>
        <w:t xml:space="preserve"> темпами.</w:t>
      </w:r>
    </w:p>
    <w:p w:rsidR="003F70EA" w:rsidRPr="00BF655E" w:rsidRDefault="00D12595" w:rsidP="00D75328">
      <w:pPr>
        <w:pStyle w:val="a3"/>
        <w:shd w:val="clear" w:color="auto" w:fill="FFFFFF"/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  <w:lang w:val="uk-UA"/>
        </w:rPr>
        <w:t xml:space="preserve">        </w:t>
      </w:r>
      <w:r w:rsidR="003F70EA" w:rsidRPr="00BF655E">
        <w:rPr>
          <w:color w:val="1A1A1A" w:themeColor="background1" w:themeShade="1A"/>
          <w:sz w:val="28"/>
          <w:szCs w:val="28"/>
        </w:rPr>
        <w:t xml:space="preserve">За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даними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Світового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банку, 85%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сукупних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світових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інвестицій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у науку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здійснюють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країни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- члени ОЕСР, 11% -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Індія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, Китай,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Бразилія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,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нові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технологічно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розвинуті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країни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Східної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Азії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і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лише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4% -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решта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країн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світу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, в тому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числі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3F70EA" w:rsidRPr="00BF655E">
        <w:rPr>
          <w:color w:val="1A1A1A" w:themeColor="background1" w:themeShade="1A"/>
          <w:sz w:val="28"/>
          <w:szCs w:val="28"/>
        </w:rPr>
        <w:t>Україна</w:t>
      </w:r>
      <w:proofErr w:type="spellEnd"/>
      <w:r w:rsidR="003F70EA" w:rsidRPr="00BF655E">
        <w:rPr>
          <w:color w:val="1A1A1A" w:themeColor="background1" w:themeShade="1A"/>
          <w:sz w:val="28"/>
          <w:szCs w:val="28"/>
        </w:rPr>
        <w:t xml:space="preserve"> [2, с. 44].</w:t>
      </w:r>
    </w:p>
    <w:p w:rsidR="00D75328" w:rsidRPr="00BF655E" w:rsidRDefault="00D12595" w:rsidP="00D12595">
      <w:pPr>
        <w:spacing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Сьогоднішні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умови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в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яких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відбувається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формування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інтелектуального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капіталу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є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досить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складними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.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Трансформаційна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криза в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Україні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зумовила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lastRenderedPageBreak/>
        <w:t>руйнацію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науково-технологічної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та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підірвала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духовно-моральну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складову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національного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інтелектуального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капіталу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. За ро</w:t>
      </w:r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softHyphen/>
        <w:t xml:space="preserve">ки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незалежності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по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всій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території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України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пошири</w:t>
      </w:r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softHyphen/>
        <w:t>лися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процеси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депопуляції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населення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зменшення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народжуваності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й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зростання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смертності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у тому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числі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й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серед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населення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працездатного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віку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;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величезних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втрат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продовжує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завдавати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інтелектуальному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капіталу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та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науково-технічному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потенціалу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України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міграція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висококва</w:t>
      </w:r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softHyphen/>
        <w:t>ліфікованих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кадрів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;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витрати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на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освіту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в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Україні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неухильно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зростають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водночас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за величиною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фінансових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втрат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на душу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населення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вона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поступається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більшості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країн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світу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займаючи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зокрема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в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Європі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одне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останніх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місць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, до того ж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інтелектуальний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потенціал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України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практично не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трансформуються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у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виробництво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;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низький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рівень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фінансування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сфери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охорони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здоров'я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та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сфери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культури</w:t>
      </w:r>
      <w:proofErr w:type="spellEnd"/>
      <w:r w:rsidR="00D75328" w:rsidRPr="00BF655E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 xml:space="preserve"> [3].</w:t>
      </w:r>
    </w:p>
    <w:p w:rsidR="00D75328" w:rsidRDefault="00D12595" w:rsidP="00D12595">
      <w:p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D75328" w:rsidRPr="00D12595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Висновок</w:t>
      </w:r>
      <w:r w:rsidRPr="00D12595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="008123C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Таким чином, механізм стійкого відтворення інтелектуального капіталу національної економіки повинен містити комплекс заходів: ефективне державне фінансування,  взаємодію держави,бізнесу та суспільства, розробку державних і регіональних прогнозів потреби в кадрах.</w:t>
      </w:r>
    </w:p>
    <w:p w:rsidR="00D12595" w:rsidRPr="00D12595" w:rsidRDefault="00D12595" w:rsidP="00D12595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Література</w:t>
      </w:r>
    </w:p>
    <w:p w:rsidR="00D75328" w:rsidRPr="00D12595" w:rsidRDefault="00D75328" w:rsidP="00D12595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D12595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Брыль И.В. Стратегия управления интеллектуальным капиталом предприятий. − Рукопись.</w:t>
      </w:r>
    </w:p>
    <w:p w:rsidR="00D75328" w:rsidRPr="00D12595" w:rsidRDefault="00D75328" w:rsidP="00D12595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 Гончаров Ю.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Науковий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потенціал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як фактор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розвитку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інноваційно-інвестиційної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системи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України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/ Ю. Гончаров, А. 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Касич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//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Економіка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України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. – 2007. – № 3. – С. 42-51.</w:t>
      </w:r>
    </w:p>
    <w:p w:rsidR="00D75328" w:rsidRPr="00D12595" w:rsidRDefault="00D75328" w:rsidP="00D1259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</w:pPr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 Коваленко О. М.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Інтелектуальний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капітал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: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формування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та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розвиток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в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Україні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: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автореф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.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дис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. на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здобуття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наук.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ступеня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канд.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екон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. наук. : спец. 08.00.01 / О. М. Коваленко – К., 2008. – 19 с.</w:t>
      </w:r>
    </w:p>
    <w:p w:rsidR="00D75328" w:rsidRPr="00D12595" w:rsidRDefault="00D75328" w:rsidP="00D1259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</w:pPr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Хаустов В. К. Система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охорони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інтелектуальної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власності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як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елемент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національної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інноваційної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політики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/ В. К. Хаустов  //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Економічна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теорія</w:t>
      </w:r>
      <w:proofErr w:type="spellEnd"/>
      <w:r w:rsidRPr="00D12595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  <w:t>. –  2009. – № 1. – С. 50-66.</w:t>
      </w:r>
    </w:p>
    <w:p w:rsidR="00D75328" w:rsidRPr="00D12595" w:rsidRDefault="00D75328" w:rsidP="00D12595">
      <w:p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i/>
          <w:color w:val="413B44"/>
          <w:sz w:val="28"/>
          <w:szCs w:val="28"/>
          <w:lang w:eastAsia="ru-RU"/>
        </w:rPr>
      </w:pPr>
    </w:p>
    <w:p w:rsidR="00D75328" w:rsidRPr="00BF655E" w:rsidRDefault="00D75328" w:rsidP="00D75328">
      <w:pPr>
        <w:pStyle w:val="a3"/>
        <w:shd w:val="clear" w:color="auto" w:fill="FFFFFF"/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</w:p>
    <w:p w:rsidR="00D75328" w:rsidRPr="00BF655E" w:rsidRDefault="00D75328">
      <w:p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sectPr w:rsidR="00D75328" w:rsidRPr="00BF655E" w:rsidSect="00DA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910"/>
    <w:multiLevelType w:val="hybridMultilevel"/>
    <w:tmpl w:val="8334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F720C"/>
    <w:multiLevelType w:val="hybridMultilevel"/>
    <w:tmpl w:val="8334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787"/>
    <w:multiLevelType w:val="multilevel"/>
    <w:tmpl w:val="8B5A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76863"/>
    <w:multiLevelType w:val="hybridMultilevel"/>
    <w:tmpl w:val="48B23AEE"/>
    <w:lvl w:ilvl="0" w:tplc="617A0CA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0C3"/>
    <w:rsid w:val="000D0020"/>
    <w:rsid w:val="001C7929"/>
    <w:rsid w:val="003F70EA"/>
    <w:rsid w:val="00421B61"/>
    <w:rsid w:val="00460AD1"/>
    <w:rsid w:val="004900C3"/>
    <w:rsid w:val="004C47C1"/>
    <w:rsid w:val="008123CF"/>
    <w:rsid w:val="00A333E4"/>
    <w:rsid w:val="00BF655E"/>
    <w:rsid w:val="00CA4A25"/>
    <w:rsid w:val="00D12595"/>
    <w:rsid w:val="00D14A6F"/>
    <w:rsid w:val="00D75328"/>
    <w:rsid w:val="00DA612E"/>
    <w:rsid w:val="00F30E11"/>
    <w:rsid w:val="00F3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328"/>
    <w:rPr>
      <w:i/>
      <w:iCs/>
    </w:rPr>
  </w:style>
  <w:style w:type="character" w:customStyle="1" w:styleId="apple-converted-space">
    <w:name w:val="apple-converted-space"/>
    <w:basedOn w:val="a0"/>
    <w:rsid w:val="00D75328"/>
  </w:style>
  <w:style w:type="character" w:styleId="a5">
    <w:name w:val="Hyperlink"/>
    <w:basedOn w:val="a0"/>
    <w:uiPriority w:val="99"/>
    <w:semiHidden/>
    <w:unhideWhenUsed/>
    <w:rsid w:val="00D753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5328"/>
    <w:pPr>
      <w:ind w:left="720"/>
      <w:contextualSpacing/>
    </w:pPr>
  </w:style>
  <w:style w:type="character" w:styleId="a7">
    <w:name w:val="Strong"/>
    <w:basedOn w:val="a0"/>
    <w:uiPriority w:val="22"/>
    <w:qFormat/>
    <w:rsid w:val="00D753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5328"/>
    <w:rPr>
      <w:i/>
      <w:iCs/>
    </w:rPr>
  </w:style>
  <w:style w:type="character" w:customStyle="1" w:styleId="apple-converted-space">
    <w:name w:val="apple-converted-space"/>
    <w:basedOn w:val="a0"/>
    <w:rsid w:val="00D75328"/>
  </w:style>
  <w:style w:type="character" w:styleId="a5">
    <w:name w:val="Hyperlink"/>
    <w:basedOn w:val="a0"/>
    <w:uiPriority w:val="99"/>
    <w:semiHidden/>
    <w:unhideWhenUsed/>
    <w:rsid w:val="00D753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5328"/>
    <w:pPr>
      <w:ind w:left="720"/>
      <w:contextualSpacing/>
    </w:pPr>
  </w:style>
  <w:style w:type="character" w:styleId="a7">
    <w:name w:val="Strong"/>
    <w:basedOn w:val="a0"/>
    <w:uiPriority w:val="22"/>
    <w:qFormat/>
    <w:rsid w:val="00D753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3177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( Волинь )</dc:creator>
  <cp:lastModifiedBy>Лідія-ПК</cp:lastModifiedBy>
  <cp:revision>2</cp:revision>
  <dcterms:created xsi:type="dcterms:W3CDTF">2014-05-03T21:42:00Z</dcterms:created>
  <dcterms:modified xsi:type="dcterms:W3CDTF">2014-05-03T21:42:00Z</dcterms:modified>
</cp:coreProperties>
</file>