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47" w:rsidRPr="00684136" w:rsidRDefault="00861516" w:rsidP="00861516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84136">
        <w:rPr>
          <w:rFonts w:ascii="Times New Roman" w:hAnsi="Times New Roman"/>
          <w:b/>
          <w:color w:val="000000"/>
          <w:sz w:val="28"/>
          <w:szCs w:val="28"/>
          <w:lang w:val="uk-UA"/>
        </w:rPr>
        <w:t>Гаркуша С.В.</w:t>
      </w:r>
      <w:r w:rsidR="00EF1948" w:rsidRPr="00684136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1.25pt;margin-top:-6.8pt;width:85.1pt;height:130pt;z-index:251660288;visibility:visible;mso-position-horizontal-relative:text;mso-position-vertical-relative:text">
            <v:imagedata r:id="rId5" o:title=""/>
            <w10:wrap type="square"/>
          </v:shape>
        </w:pict>
      </w:r>
      <w:r w:rsidRPr="0068413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684136">
        <w:rPr>
          <w:rFonts w:ascii="Times New Roman" w:hAnsi="Times New Roman"/>
          <w:b/>
          <w:color w:val="000000"/>
          <w:sz w:val="28"/>
          <w:szCs w:val="28"/>
        </w:rPr>
        <w:t>ФЕтаУ</w:t>
      </w:r>
      <w:proofErr w:type="spellEnd"/>
      <w:r w:rsidRPr="0068413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684136" w:rsidRPr="00684136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І</w:t>
      </w:r>
      <w:r w:rsidR="00684136" w:rsidRPr="00684136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V</w:t>
      </w:r>
      <w:r w:rsidR="00684136" w:rsidRPr="00684136">
        <w:rPr>
          <w:rStyle w:val="apple-converted-space"/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 </w:t>
      </w:r>
      <w:r w:rsidR="00684136" w:rsidRPr="00684136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курс, ЕЕП-401</w:t>
      </w:r>
    </w:p>
    <w:p w:rsidR="00E04E47" w:rsidRDefault="00E04E47" w:rsidP="00E04E47">
      <w:pPr>
        <w:tabs>
          <w:tab w:val="left" w:pos="7088"/>
          <w:tab w:val="left" w:pos="765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61516" w:rsidRDefault="00861516" w:rsidP="00861516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92F7F"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 ОЦІНЮВАННЯ ІННОВАЦІЙНОГО ПОТЕНЦІАЛУ ПІДПРИЄМСТВА</w:t>
      </w:r>
    </w:p>
    <w:p w:rsidR="00E04E47" w:rsidRPr="00861516" w:rsidRDefault="00E04E47" w:rsidP="00861516">
      <w:pPr>
        <w:tabs>
          <w:tab w:val="left" w:pos="7088"/>
          <w:tab w:val="left" w:pos="7655"/>
        </w:tabs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E04E47" w:rsidRDefault="00E04E47" w:rsidP="00E04E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5F5">
        <w:rPr>
          <w:rFonts w:ascii="Times New Roman" w:hAnsi="Times New Roman" w:cs="Times New Roman"/>
          <w:sz w:val="28"/>
          <w:szCs w:val="28"/>
          <w:lang w:val="uk-UA"/>
        </w:rPr>
        <w:t>У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досліджено поняття інноваційного потенціалу підприємства, розглянуто його сутність та складові, а також проаналізовано</w:t>
      </w:r>
      <w:r w:rsidRPr="00894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r w:rsidRPr="00A3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підходи до</w:t>
      </w:r>
      <w:r w:rsidRPr="00A33729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інноваційного потенціалу</w:t>
      </w:r>
      <w:r w:rsidRPr="0089484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E47" w:rsidRPr="00006000" w:rsidRDefault="00E04E47" w:rsidP="00E04E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E47" w:rsidRDefault="00E04E47" w:rsidP="00E04E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deals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5F5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5C65F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had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characterize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ways</w:t>
      </w:r>
      <w:proofErr w:type="spellEnd"/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14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3">
        <w:rPr>
          <w:rFonts w:ascii="Times New Roman" w:hAnsi="Times New Roman" w:cs="Times New Roman"/>
          <w:sz w:val="28"/>
          <w:szCs w:val="28"/>
          <w:lang w:val="uk-UA"/>
        </w:rPr>
        <w:t>estimation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E47" w:rsidRPr="001C0F6D" w:rsidRDefault="00E04E47" w:rsidP="00E04E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E47" w:rsidRPr="001C0F6D" w:rsidRDefault="00E04E47" w:rsidP="00E04E4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проблеми. Головним чинником ефективної діяльності підприємства й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лідерства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 на вітчизняних та світових товарних ринках є ефективне використання інновацій. У зв’язку з цим особливої актуальності набуває розгляд комплексу питань щодо інноваційної діяльності підприємств і, зокрема,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їх 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інноваційного потенціалу [2, </w:t>
      </w:r>
      <w:r>
        <w:rPr>
          <w:rFonts w:ascii="Times New Roman" w:hAnsi="Times New Roman" w:cs="Times New Roman"/>
          <w:sz w:val="28"/>
          <w:szCs w:val="28"/>
          <w:lang w:val="uk-UA"/>
        </w:rPr>
        <w:t>ст.100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відзначити, що 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“інноваційний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потенціал”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еволюціонує, про що свідчать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економічної сутності та класифікації інноваційного потенціалу, особливості інноваційної діяльності та її ролі в економічній 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 у публікаціях відомих вітчизняних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зарубіжних вчених-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економістів: Є.М.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Сафонова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С.М.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Ілляшенка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І.Т.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Балабанова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Д.І.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Кокуріна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С.В.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Онишка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П.М.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Завліна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Л.С.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Мартюшевої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В.А.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Калишенка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О.І. </w:t>
      </w:r>
      <w:proofErr w:type="spellStart"/>
      <w:r w:rsidRPr="001C0F6D">
        <w:rPr>
          <w:rFonts w:ascii="Times New Roman" w:hAnsi="Times New Roman" w:cs="Times New Roman"/>
          <w:sz w:val="28"/>
          <w:szCs w:val="28"/>
          <w:lang w:val="uk-UA"/>
        </w:rPr>
        <w:t>Олексюка</w:t>
      </w:r>
      <w:proofErr w:type="spellEnd"/>
      <w:r w:rsidRPr="001C0F6D">
        <w:rPr>
          <w:rFonts w:ascii="Times New Roman" w:hAnsi="Times New Roman" w:cs="Times New Roman"/>
          <w:sz w:val="28"/>
          <w:szCs w:val="28"/>
          <w:lang w:val="uk-UA"/>
        </w:rPr>
        <w:t>. Відсутність єдності у поглядах сучасних авторів щодо тлумачення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“інноваційний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потенціал”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 методики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ювання 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[6, </w:t>
      </w:r>
      <w:r>
        <w:rPr>
          <w:rFonts w:ascii="Times New Roman" w:hAnsi="Times New Roman" w:cs="Times New Roman"/>
          <w:sz w:val="28"/>
          <w:szCs w:val="28"/>
          <w:lang w:val="uk-UA"/>
        </w:rPr>
        <w:t>ст. 173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>] свідчить про доцільність продовження вивчення даного питання.</w:t>
      </w:r>
    </w:p>
    <w:p w:rsidR="00E04E47" w:rsidRPr="001C0F6D" w:rsidRDefault="00E04E47" w:rsidP="00E04E4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F6D">
        <w:rPr>
          <w:rFonts w:ascii="Times New Roman" w:hAnsi="Times New Roman" w:cs="Times New Roman"/>
          <w:sz w:val="28"/>
          <w:szCs w:val="28"/>
          <w:lang w:val="uk-UA"/>
        </w:rPr>
        <w:t>Метою дослідження є аналіз методичних підходів до оцінювання інноваційного потенціалу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(ІПП)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цілей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 xml:space="preserve">, показників оцінювання; можливостей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1C0F6D">
        <w:rPr>
          <w:rFonts w:ascii="Times New Roman" w:hAnsi="Times New Roman" w:cs="Times New Roman"/>
          <w:sz w:val="28"/>
          <w:szCs w:val="28"/>
          <w:lang w:val="uk-UA"/>
        </w:rPr>
        <w:t>використання запропонованих методик в практичній діяльності.</w:t>
      </w:r>
    </w:p>
    <w:p w:rsidR="00E04E47" w:rsidRPr="001C0F6D" w:rsidRDefault="00E04E47" w:rsidP="00E04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Виклад основного матеріалу. В економічній літературі існують різні підходи до тлумачення поняття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C0F6D">
        <w:rPr>
          <w:rFonts w:ascii="Times New Roman" w:hAnsi="Times New Roman"/>
          <w:sz w:val="28"/>
          <w:szCs w:val="28"/>
          <w:lang w:val="uk-UA"/>
        </w:rPr>
        <w:t>інноваційний потенціал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. Одні автори роблять наголос на наявності ресурсів, інші на можливості їх використання. </w:t>
      </w:r>
      <w:r>
        <w:rPr>
          <w:rFonts w:ascii="Times New Roman" w:hAnsi="Times New Roman"/>
          <w:sz w:val="28"/>
          <w:szCs w:val="28"/>
          <w:lang w:val="uk-UA"/>
        </w:rPr>
        <w:t xml:space="preserve">Ми в 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погоджуємось із Родіоновою І.В., і тому даний термін </w:t>
      </w:r>
      <w:r>
        <w:rPr>
          <w:rFonts w:ascii="Times New Roman" w:hAnsi="Times New Roman"/>
          <w:sz w:val="28"/>
          <w:szCs w:val="28"/>
          <w:lang w:val="uk-UA"/>
        </w:rPr>
        <w:t>використовуватимемо в такому значенні: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– це сукупність явних та прихованих можливостей підприємства забезпечити реалізацію та отримання інновацій за допомогою залучення матеріальних, фінансових, науково-технічних, інформаційних ресурсів, які на основі накопиченого досвіду про результати науково-технічних робіт, винаходів, проектно-конструкторських розробок, зразків нової техніки та продукції призводять до зміцнення фінансового результату підприємства та завоювання ним конкурентоспроможності як на внутрішньому, так і на зовнішньому ринках. [4</w:t>
      </w:r>
      <w:r>
        <w:rPr>
          <w:rFonts w:ascii="Times New Roman" w:hAnsi="Times New Roman"/>
          <w:sz w:val="28"/>
          <w:szCs w:val="28"/>
          <w:lang w:val="uk-UA"/>
        </w:rPr>
        <w:t>, ст. 15</w:t>
      </w:r>
      <w:r w:rsidRPr="001C0F6D">
        <w:rPr>
          <w:rFonts w:ascii="Times New Roman" w:hAnsi="Times New Roman"/>
          <w:sz w:val="28"/>
          <w:szCs w:val="28"/>
          <w:lang w:val="uk-UA"/>
        </w:rPr>
        <w:t>].</w:t>
      </w:r>
    </w:p>
    <w:p w:rsidR="00E04E47" w:rsidRPr="001C0F6D" w:rsidRDefault="00E04E47" w:rsidP="00E04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>Розглянувши різні підходи до структури інноваційного потенціалу, слід зазначити, що більшість авторів роз</w:t>
      </w:r>
      <w:r>
        <w:rPr>
          <w:rFonts w:ascii="Times New Roman" w:hAnsi="Times New Roman"/>
          <w:sz w:val="28"/>
          <w:szCs w:val="28"/>
          <w:lang w:val="uk-UA"/>
        </w:rPr>
        <w:t>уміють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інноваційний потенціал як сукупність ресурсів, тому, розкриваючи питання структури інноваційного потенціалу, перераховують ресурси, необхідні для здійснення інноваційної діяльності. Щодо структури інноваційного потенціалу, то 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1C0F6D">
        <w:rPr>
          <w:rFonts w:ascii="Times New Roman" w:hAnsi="Times New Roman"/>
          <w:sz w:val="28"/>
          <w:szCs w:val="28"/>
          <w:lang w:val="uk-UA"/>
        </w:rPr>
        <w:t>підтримуємо думку, що інноваційний потенціал складає ядро загального підприємницького потенціалу підприємства, органічно входячи до його склад</w:t>
      </w:r>
      <w:r>
        <w:rPr>
          <w:rFonts w:ascii="Times New Roman" w:hAnsi="Times New Roman"/>
          <w:sz w:val="28"/>
          <w:szCs w:val="28"/>
          <w:lang w:val="uk-UA"/>
        </w:rPr>
        <w:t>у,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й визначає реальну потенційну можливість підприємства щодо здійснення інноваційного розвитку. З одного боку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інноваційний потенціал входить до складу кожного потенціалу підприємства, з іншого боку, кожна зі складових потенціалу підприємства забезпечує його інноваційну складову.</w:t>
      </w:r>
    </w:p>
    <w:p w:rsidR="00E04E47" w:rsidRPr="001C0F6D" w:rsidRDefault="00E04E47" w:rsidP="00E04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>Для адекватної оцінки поточної ситуації та вибору перспективного вектора інноваційного розвитку на підприємстві необхідно проведення систе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матичної та своєчасної оцінки наявного інноваційного потенціалу.</w:t>
      </w:r>
    </w:p>
    <w:p w:rsidR="00E04E47" w:rsidRPr="001C0F6D" w:rsidRDefault="00E04E47" w:rsidP="00E04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>Об'єктивність оцінки рівня ІПП може бути забез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печена лише </w:t>
      </w:r>
      <w:r>
        <w:rPr>
          <w:rFonts w:ascii="Times New Roman" w:hAnsi="Times New Roman"/>
          <w:sz w:val="28"/>
          <w:szCs w:val="28"/>
          <w:lang w:val="uk-UA"/>
        </w:rPr>
        <w:t>за умови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правильно</w:t>
      </w:r>
      <w:r>
        <w:rPr>
          <w:rFonts w:ascii="Times New Roman" w:hAnsi="Times New Roman"/>
          <w:sz w:val="28"/>
          <w:szCs w:val="28"/>
          <w:lang w:val="uk-UA"/>
        </w:rPr>
        <w:t>го вибору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системи показників. Проаналізувавши різні джерела, на нашу думку, найбільш доречно загальну оцінку рівня ІПП здійснювати за такими трьома складовими: потенціаль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ною складовою, яка засвідчує рівень </w:t>
      </w:r>
      <w:r w:rsidRPr="001C0F6D">
        <w:rPr>
          <w:rFonts w:ascii="Times New Roman" w:hAnsi="Times New Roman"/>
          <w:sz w:val="28"/>
          <w:szCs w:val="28"/>
          <w:lang w:val="uk-UA"/>
        </w:rPr>
        <w:lastRenderedPageBreak/>
        <w:t>загального потен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ціалу підприємства, тобто представляє собою джерело життєвої сили; інноваційною складовою, яка є похідною від загального потенціалу підприємства та входять до складу кожного елементу; управлінсько-комунікаційною складовою, що відобража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ється в готовності та здатності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1C0F6D">
        <w:rPr>
          <w:rFonts w:ascii="Times New Roman" w:hAnsi="Times New Roman"/>
          <w:sz w:val="28"/>
          <w:szCs w:val="28"/>
          <w:lang w:val="uk-UA"/>
        </w:rPr>
        <w:t>ефективного управління елементами потенціалу підприємства та інноваційними складовими і враховує зв’язки, які ви</w:t>
      </w:r>
      <w:r>
        <w:rPr>
          <w:rFonts w:ascii="Times New Roman" w:hAnsi="Times New Roman"/>
          <w:sz w:val="28"/>
          <w:szCs w:val="28"/>
          <w:lang w:val="uk-UA"/>
        </w:rPr>
        <w:t>ни</w:t>
      </w:r>
      <w:r w:rsidRPr="001C0F6D">
        <w:rPr>
          <w:rFonts w:ascii="Times New Roman" w:hAnsi="Times New Roman"/>
          <w:sz w:val="28"/>
          <w:szCs w:val="28"/>
          <w:lang w:val="uk-UA"/>
        </w:rPr>
        <w:t>кають між елемен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тами усередині системи та зв’язки окремих елементів із зовнішнім середовищем, що із закономірною необхід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ністю визначає інтеграційні якості цієї системи [3</w:t>
      </w:r>
      <w:r>
        <w:rPr>
          <w:rFonts w:ascii="Times New Roman" w:hAnsi="Times New Roman"/>
          <w:sz w:val="28"/>
          <w:szCs w:val="28"/>
          <w:lang w:val="uk-UA"/>
        </w:rPr>
        <w:t>, ст. 173</w:t>
      </w:r>
      <w:r w:rsidRPr="001C0F6D">
        <w:rPr>
          <w:rFonts w:ascii="Times New Roman" w:hAnsi="Times New Roman"/>
          <w:sz w:val="28"/>
          <w:szCs w:val="28"/>
          <w:lang w:val="uk-UA"/>
        </w:rPr>
        <w:t>].</w:t>
      </w:r>
    </w:p>
    <w:p w:rsidR="00E04E47" w:rsidRPr="001C0F6D" w:rsidRDefault="00E04E47" w:rsidP="00E04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 xml:space="preserve">Проаналізувавши різні джерела з даної проблематики, </w:t>
      </w:r>
      <w:r>
        <w:rPr>
          <w:rFonts w:ascii="Times New Roman" w:hAnsi="Times New Roman"/>
          <w:sz w:val="28"/>
          <w:szCs w:val="28"/>
          <w:lang w:val="uk-UA"/>
        </w:rPr>
        <w:t xml:space="preserve">ми дійшли висновку, що для  </w:t>
      </w:r>
      <w:r w:rsidRPr="001C0F6D">
        <w:rPr>
          <w:rFonts w:ascii="Times New Roman" w:hAnsi="Times New Roman"/>
          <w:sz w:val="28"/>
          <w:szCs w:val="28"/>
          <w:lang w:val="uk-UA"/>
        </w:rPr>
        <w:t>комплексно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інтегральн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рівня інноваційного потенціалу підприємства відносно реаліза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ції виробничого інноваційного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доцільно використовувати 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модель, розроблен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Родзіловим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C0F6D">
        <w:rPr>
          <w:rFonts w:ascii="Times New Roman" w:hAnsi="Times New Roman"/>
          <w:sz w:val="28"/>
          <w:szCs w:val="28"/>
          <w:lang w:val="uk-UA"/>
        </w:rPr>
        <w:t>представлен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нижче приведених формулах</w:t>
      </w:r>
      <w:r w:rsidRPr="001C0F6D">
        <w:rPr>
          <w:rFonts w:ascii="Times New Roman" w:hAnsi="Times New Roman"/>
          <w:sz w:val="28"/>
          <w:szCs w:val="28"/>
          <w:lang w:val="uk-UA"/>
        </w:rPr>
        <w:t>:</w:t>
      </w:r>
    </w:p>
    <w:p w:rsidR="00E04E47" w:rsidRPr="00E04E47" w:rsidRDefault="00EF1948" w:rsidP="00E04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п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фе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∙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нт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уп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uk-UA"/>
                </w:rPr>
                <m:t>1,875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uk-UA"/>
            </w:rPr>
            <m:t>; (1)</m:t>
          </m:r>
        </m:oMath>
      </m:oMathPara>
    </w:p>
    <w:p w:rsidR="00E04E47" w:rsidRPr="001C0F6D" w:rsidRDefault="00861516" w:rsidP="00E04E47">
      <w:pPr>
        <w:spacing w:line="360" w:lineRule="auto"/>
        <w:ind w:firstLine="709"/>
        <w:jc w:val="both"/>
        <w:rPr>
          <w:i/>
          <w:lang w:val="uk-UA"/>
        </w:rPr>
      </w:pPr>
      <w:r w:rsidRPr="00EF1948">
        <w:rPr>
          <w:lang w:val="uk-UA"/>
        </w:rPr>
        <w:pict>
          <v:shape id="_x0000_i1025" type="#_x0000_t75" style="width:176.25pt;height:36.55pt" equationxml="&lt;">
            <v:imagedata r:id="rId6" o:title="" chromakey="white"/>
          </v:shape>
        </w:pict>
      </w:r>
    </w:p>
    <w:p w:rsidR="00E04E47" w:rsidRPr="001C0F6D" w:rsidRDefault="00861516" w:rsidP="00E04E47">
      <w:pPr>
        <w:spacing w:line="360" w:lineRule="auto"/>
        <w:ind w:firstLine="709"/>
        <w:jc w:val="both"/>
        <w:rPr>
          <w:i/>
          <w:lang w:val="uk-UA"/>
        </w:rPr>
      </w:pPr>
      <w:r w:rsidRPr="00EF1948">
        <w:rPr>
          <w:lang w:val="uk-UA"/>
        </w:rPr>
        <w:pict>
          <v:shape id="_x0000_i1026" type="#_x0000_t75" style="width:239.65pt;height:36.55pt" equationxml="&lt;">
            <v:imagedata r:id="rId7" o:title="" chromakey="white"/>
          </v:shape>
        </w:pict>
      </w:r>
    </w:p>
    <w:p w:rsidR="00E04E47" w:rsidRPr="007437C1" w:rsidRDefault="00E04E47" w:rsidP="00E04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 xml:space="preserve">де </w:t>
      </w:r>
      <w:proofErr w:type="spellStart"/>
      <w:r w:rsidRPr="001877C3">
        <w:rPr>
          <w:rFonts w:ascii="Times New Roman" w:hAnsi="Times New Roman"/>
          <w:sz w:val="28"/>
          <w:szCs w:val="28"/>
          <w:lang w:val="uk-UA"/>
        </w:rPr>
        <w:t>Sinn</w:t>
      </w:r>
      <w:proofErr w:type="spellEnd"/>
      <w:r w:rsidRPr="001877C3">
        <w:rPr>
          <w:rFonts w:ascii="Times New Roman" w:hAnsi="Times New Roman"/>
          <w:sz w:val="28"/>
          <w:szCs w:val="28"/>
          <w:lang w:val="uk-UA"/>
        </w:rPr>
        <w:t xml:space="preserve">(в) </w:t>
      </w:r>
      <w:r w:rsidRPr="001C0F6D">
        <w:rPr>
          <w:rFonts w:ascii="Times New Roman" w:hAnsi="Times New Roman"/>
          <w:sz w:val="28"/>
          <w:szCs w:val="28"/>
          <w:lang w:val="uk-UA"/>
        </w:rPr>
        <w:t>– інтегральний показник рівня інноваційного потенціалу підприємства відносно реалі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зації виробничого інноваційного проекту;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Sуп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– управлінсько-комунікаційний рівень іннова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ційного потенціалу підприємства;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Sв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Sоу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Sфе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Sм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Sк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Sс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Sнт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– часткова оцінка рівня відповідного інноваційного потенціалу (виробничого, організаційно-управлінського, фінансово-економічного, маркетингового, кадрового, соціального; науково-технічного потенціалу) з урахуванням інноваційних компонентів; n – кількість експертів; m – кількість інноваційних складових; k1, k2, k3, k4, k5, k6, k7 – середньоарифметичний по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казник коефіцієнта вагомості рівня відповідного част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кового ІПП;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xl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– коефіцієнт вагомості кожної складової іннова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ційних </w:t>
      </w:r>
      <w:r w:rsidRPr="001C0F6D">
        <w:rPr>
          <w:rFonts w:ascii="Times New Roman" w:hAnsi="Times New Roman"/>
          <w:sz w:val="28"/>
          <w:szCs w:val="28"/>
          <w:lang w:val="uk-UA"/>
        </w:rPr>
        <w:lastRenderedPageBreak/>
        <w:t xml:space="preserve">компонентів;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– бальні оцінки елементів кожної складової ін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новаційних компонентів з урахуванням зовнішніх фак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торів впливу на них;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yj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– коефіцієнт вагомості кожної складової потен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 xml:space="preserve">ціалу підприємства;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bj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– бальні оцінки елементів кожної складової по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тенціалу підприємства з врахуванням зовнішніх факто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рів впливу; t – кількість потенціальних складових.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Для обґрунтування рівня достатності показника ІПП доцільно використати шкалу бажаності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Харр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C0F6D">
        <w:rPr>
          <w:rFonts w:ascii="Times New Roman" w:hAnsi="Times New Roman"/>
          <w:sz w:val="28"/>
          <w:szCs w:val="28"/>
          <w:lang w:val="uk-UA"/>
        </w:rPr>
        <w:t>нгтона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7C1">
        <w:rPr>
          <w:rFonts w:ascii="Times New Roman" w:hAnsi="Times New Roman"/>
          <w:sz w:val="28"/>
          <w:szCs w:val="28"/>
          <w:lang w:val="uk-UA"/>
        </w:rPr>
        <w:t>[5, ст.251].</w:t>
      </w:r>
    </w:p>
    <w:p w:rsidR="00E04E47" w:rsidRPr="001C0F6D" w:rsidRDefault="00E04E47" w:rsidP="00E04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>Висновки. Використання розглянутої метод</w:t>
      </w:r>
      <w:r>
        <w:rPr>
          <w:rFonts w:ascii="Times New Roman" w:hAnsi="Times New Roman"/>
          <w:sz w:val="28"/>
          <w:szCs w:val="28"/>
          <w:lang w:val="uk-UA"/>
        </w:rPr>
        <w:t>ики</w:t>
      </w:r>
      <w:r w:rsidRPr="001C0F6D">
        <w:rPr>
          <w:rFonts w:ascii="Times New Roman" w:hAnsi="Times New Roman"/>
          <w:sz w:val="28"/>
          <w:szCs w:val="28"/>
          <w:lang w:val="uk-UA"/>
        </w:rPr>
        <w:t xml:space="preserve"> оцінюван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ня інноваційного потенціалу підприємства дозволяє не тільки визначити міру готовності до розробки та впро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вадження інноваційних проектів, які віддзеркалюють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ся у відповідних типах інновацій, а і надає можливість виявити наявні проблеми в організаційній, фінансово-економічній, виробничій, кадровій, маркетинговий, науково-технічній, соціальній чи управлінській сфері діяльності. Своєчасне виявлення та ліквідування вище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зазначених проблем дозволяють підвищити загальний рівень потенціалу, створюючи стабільне підґрунтя для інноваційної діяльності підприємства.</w:t>
      </w:r>
    </w:p>
    <w:p w:rsidR="00E04E47" w:rsidRPr="001C0F6D" w:rsidRDefault="00E04E47" w:rsidP="00E04E47">
      <w:pPr>
        <w:ind w:firstLine="425"/>
        <w:rPr>
          <w:rFonts w:ascii="Times New Roman" w:hAnsi="Times New Roman"/>
          <w:i/>
          <w:sz w:val="28"/>
          <w:szCs w:val="28"/>
          <w:lang w:val="uk-UA"/>
        </w:rPr>
      </w:pPr>
      <w:r w:rsidRPr="001C0F6D">
        <w:rPr>
          <w:rFonts w:ascii="Times New Roman" w:hAnsi="Times New Roman"/>
          <w:i/>
          <w:sz w:val="28"/>
          <w:szCs w:val="28"/>
          <w:lang w:val="uk-UA"/>
        </w:rPr>
        <w:t>Література:</w:t>
      </w:r>
    </w:p>
    <w:p w:rsidR="00E04E47" w:rsidRPr="001C0F6D" w:rsidRDefault="00E04E47" w:rsidP="00E04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 xml:space="preserve">Зінченко В.И.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разработки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применения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методики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комплексной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оценки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инновационного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потенциала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промышленного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/ В.И.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Зинченко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Е. П.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Губин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Е. А.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Монастырный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А. Б. Пушкаренко, Г. И.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Тюльков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Инновации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>. – 2005. – №5. – С. 58-63.</w:t>
      </w:r>
    </w:p>
    <w:p w:rsidR="00E04E47" w:rsidRPr="001C0F6D" w:rsidRDefault="00E04E47" w:rsidP="00E04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Миляева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Л. Г.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Уточнение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понятия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инновационный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потенциал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базирующееся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методике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структурированных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процедур / Л. Г.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Миляева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Д. А.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Белоусов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Инновации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>. – 2008. – №12. – С. 100-102.</w:t>
      </w:r>
    </w:p>
    <w:p w:rsidR="00E04E47" w:rsidRPr="001C0F6D" w:rsidRDefault="00E04E47" w:rsidP="00E04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 xml:space="preserve">Новікова І.В. Інноваційний потенціал підприємства: оцінка та фінансово-інвестиційне забезпечення розвитку: автореф. дис. канд.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>. наук : 08.06.01 / І. В. Новікова. – К., 2003. – 22 с.</w:t>
      </w:r>
    </w:p>
    <w:p w:rsidR="00E04E47" w:rsidRPr="001C0F6D" w:rsidRDefault="00E04E47" w:rsidP="00E04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>Родіонова І.В. Оцінка наукових підходів у визначенні інноваційного потенціалу підприємств / І.В. Родіонова // Економіка Промисловості. – 2011. - №56(4). – С. 12 – 16.</w:t>
      </w:r>
    </w:p>
    <w:p w:rsidR="00E04E47" w:rsidRPr="001C0F6D" w:rsidRDefault="00E04E47" w:rsidP="00E04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Харригтонг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Дж.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Управление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качеством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амери</w:t>
      </w:r>
      <w:r w:rsidRPr="001C0F6D">
        <w:rPr>
          <w:rFonts w:ascii="Times New Roman" w:hAnsi="Times New Roman"/>
          <w:sz w:val="28"/>
          <w:szCs w:val="28"/>
          <w:lang w:val="uk-UA"/>
        </w:rPr>
        <w:softHyphen/>
        <w:t>канских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корпорациях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 / Дж.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Харригтонг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сокр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 xml:space="preserve">. пер. с англ. – М. : </w:t>
      </w:r>
      <w:proofErr w:type="spellStart"/>
      <w:r w:rsidRPr="001C0F6D">
        <w:rPr>
          <w:rFonts w:ascii="Times New Roman" w:hAnsi="Times New Roman"/>
          <w:sz w:val="28"/>
          <w:szCs w:val="28"/>
          <w:lang w:val="uk-UA"/>
        </w:rPr>
        <w:t>Экономика</w:t>
      </w:r>
      <w:proofErr w:type="spellEnd"/>
      <w:r w:rsidRPr="001C0F6D">
        <w:rPr>
          <w:rFonts w:ascii="Times New Roman" w:hAnsi="Times New Roman"/>
          <w:sz w:val="28"/>
          <w:szCs w:val="28"/>
          <w:lang w:val="uk-UA"/>
        </w:rPr>
        <w:t>, 1990. – 273 с.</w:t>
      </w:r>
    </w:p>
    <w:p w:rsidR="00E04E47" w:rsidRPr="001C0F6D" w:rsidRDefault="00E04E47" w:rsidP="00E04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C0F6D">
        <w:rPr>
          <w:rFonts w:ascii="Times New Roman" w:hAnsi="Times New Roman"/>
          <w:sz w:val="28"/>
          <w:szCs w:val="28"/>
          <w:lang w:val="uk-UA"/>
        </w:rPr>
        <w:t>Яковлєв А.І. Економічна сутність та методичні основи визначення рівня потенціалу виробничої системи / А.І. Яковлєв, О.П. Косенко // Маркетинг і менеджмент інновацій. – 2011. – №2. – С.172-178.</w:t>
      </w:r>
    </w:p>
    <w:p w:rsidR="006B70E7" w:rsidRPr="00E04E47" w:rsidRDefault="006B70E7" w:rsidP="00E04E47">
      <w:pPr>
        <w:rPr>
          <w:szCs w:val="28"/>
          <w:lang w:val="uk-UA"/>
        </w:rPr>
      </w:pPr>
    </w:p>
    <w:sectPr w:rsidR="006B70E7" w:rsidRPr="00E04E47" w:rsidSect="008C2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B23"/>
    <w:multiLevelType w:val="hybridMultilevel"/>
    <w:tmpl w:val="5ECA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6F8"/>
    <w:multiLevelType w:val="hybridMultilevel"/>
    <w:tmpl w:val="BA40B54E"/>
    <w:lvl w:ilvl="0" w:tplc="1DBAD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4281"/>
    <w:multiLevelType w:val="hybridMultilevel"/>
    <w:tmpl w:val="169A6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C212D"/>
    <w:rsid w:val="00006000"/>
    <w:rsid w:val="000E0F3F"/>
    <w:rsid w:val="00141223"/>
    <w:rsid w:val="001877C3"/>
    <w:rsid w:val="004020A2"/>
    <w:rsid w:val="005C65F5"/>
    <w:rsid w:val="0062540F"/>
    <w:rsid w:val="00684136"/>
    <w:rsid w:val="006B70E7"/>
    <w:rsid w:val="00793548"/>
    <w:rsid w:val="00861516"/>
    <w:rsid w:val="008C212D"/>
    <w:rsid w:val="00967DE7"/>
    <w:rsid w:val="00B725CA"/>
    <w:rsid w:val="00C92F7F"/>
    <w:rsid w:val="00E04E47"/>
    <w:rsid w:val="00E42F4E"/>
    <w:rsid w:val="00EF1948"/>
    <w:rsid w:val="00FD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C212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9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5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ECOENT236</cp:lastModifiedBy>
  <cp:revision>2</cp:revision>
  <dcterms:created xsi:type="dcterms:W3CDTF">2013-04-05T09:47:00Z</dcterms:created>
  <dcterms:modified xsi:type="dcterms:W3CDTF">2013-04-05T09:47:00Z</dcterms:modified>
</cp:coreProperties>
</file>